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D7" w:rsidRPr="00C71AF8" w:rsidRDefault="00BE75D7" w:rsidP="006F63E1">
      <w:pPr>
        <w:jc w:val="center"/>
        <w:rPr>
          <w:rFonts w:ascii="Times New Roman" w:hAnsi="Times New Roman" w:cs="Times New Roman"/>
          <w:sz w:val="96"/>
          <w:szCs w:val="96"/>
        </w:rPr>
      </w:pPr>
      <w:r w:rsidRPr="00C71AF8">
        <w:rPr>
          <w:rFonts w:ascii="Times New Roman" w:hAnsi="Times New Roman" w:cs="Times New Roman"/>
          <w:sz w:val="96"/>
          <w:szCs w:val="96"/>
        </w:rPr>
        <w:t xml:space="preserve">The Explanation for Dropping Nitrate </w:t>
      </w:r>
      <w:bookmarkStart w:id="0" w:name="_GoBack"/>
      <w:bookmarkEnd w:id="0"/>
      <w:r w:rsidRPr="00C71AF8">
        <w:rPr>
          <w:rFonts w:ascii="Times New Roman" w:hAnsi="Times New Roman" w:cs="Times New Roman"/>
          <w:sz w:val="96"/>
          <w:szCs w:val="96"/>
        </w:rPr>
        <w:t>Levels</w:t>
      </w:r>
    </w:p>
    <w:p w:rsidR="006F63E1" w:rsidRPr="00C71AF8" w:rsidRDefault="006F63E1" w:rsidP="006F63E1">
      <w:pPr>
        <w:jc w:val="center"/>
        <w:rPr>
          <w:rFonts w:ascii="Times New Roman" w:hAnsi="Times New Roman" w:cs="Times New Roman"/>
          <w:sz w:val="56"/>
          <w:szCs w:val="56"/>
        </w:rPr>
      </w:pPr>
      <w:r w:rsidRPr="00C71AF8">
        <w:rPr>
          <w:rFonts w:ascii="Times New Roman" w:hAnsi="Times New Roman" w:cs="Times New Roman"/>
          <w:noProof/>
          <w:sz w:val="56"/>
          <w:szCs w:val="56"/>
        </w:rPr>
        <w:drawing>
          <wp:inline distT="0" distB="0" distL="0" distR="0" wp14:anchorId="2A004D4C" wp14:editId="68A22716">
            <wp:extent cx="5391150" cy="4043363"/>
            <wp:effectExtent l="0" t="0" r="0" b="0"/>
            <wp:docPr id="5" name="Picture 5" descr="C:\Users\soudann\AppData\Local\Microsoft\Windows\Temporary Internet Files\Content.Outlook\5H5O1JH3\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dann\AppData\Local\Microsoft\Windows\Temporary Internet Files\Content.Outlook\5H5O1JH3\013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4043363"/>
                    </a:xfrm>
                    <a:prstGeom prst="rect">
                      <a:avLst/>
                    </a:prstGeom>
                    <a:noFill/>
                    <a:ln>
                      <a:noFill/>
                    </a:ln>
                  </pic:spPr>
                </pic:pic>
              </a:graphicData>
            </a:graphic>
          </wp:inline>
        </w:drawing>
      </w:r>
    </w:p>
    <w:p w:rsidR="006F63E1" w:rsidRPr="00C71AF8" w:rsidRDefault="006F63E1" w:rsidP="006F63E1">
      <w:pPr>
        <w:jc w:val="center"/>
        <w:rPr>
          <w:rFonts w:ascii="Times New Roman" w:hAnsi="Times New Roman" w:cs="Times New Roman"/>
          <w:sz w:val="56"/>
          <w:szCs w:val="56"/>
        </w:rPr>
      </w:pPr>
      <w:r w:rsidRPr="00C71AF8">
        <w:rPr>
          <w:rFonts w:ascii="Times New Roman" w:hAnsi="Times New Roman" w:cs="Times New Roman"/>
          <w:sz w:val="56"/>
          <w:szCs w:val="56"/>
        </w:rPr>
        <w:t xml:space="preserve">An investigation of Plants and Soil by Julia Garber, Kendall McCoach, Paige Shephard, and Najah Soudan </w:t>
      </w:r>
    </w:p>
    <w:p w:rsidR="00A70CF9" w:rsidRPr="00C71AF8" w:rsidRDefault="00883AD5" w:rsidP="00A70CF9">
      <w:pPr>
        <w:spacing w:line="240" w:lineRule="auto"/>
        <w:rPr>
          <w:rFonts w:ascii="Times New Roman" w:hAnsi="Times New Roman" w:cs="Times New Roman"/>
          <w:sz w:val="24"/>
          <w:szCs w:val="24"/>
        </w:rPr>
      </w:pPr>
      <w:r w:rsidRPr="00C71AF8">
        <w:rPr>
          <w:rFonts w:ascii="Times New Roman" w:hAnsi="Times New Roman" w:cs="Times New Roman"/>
          <w:sz w:val="24"/>
          <w:szCs w:val="24"/>
        </w:rPr>
        <w:lastRenderedPageBreak/>
        <w:t>Introduction</w:t>
      </w:r>
    </w:p>
    <w:p w:rsidR="00A70CF9" w:rsidRPr="00C71AF8" w:rsidRDefault="007A1D1E" w:rsidP="00A70CF9">
      <w:pPr>
        <w:spacing w:after="0" w:line="240" w:lineRule="auto"/>
        <w:ind w:firstLine="720"/>
        <w:rPr>
          <w:rFonts w:ascii="Times New Roman" w:hAnsi="Times New Roman" w:cs="Times New Roman"/>
          <w:sz w:val="24"/>
          <w:szCs w:val="24"/>
        </w:rPr>
      </w:pPr>
      <w:r w:rsidRPr="00C71AF8">
        <w:rPr>
          <w:rFonts w:ascii="Times New Roman" w:hAnsi="Times New Roman" w:cs="Times New Roman"/>
          <w:sz w:val="24"/>
          <w:szCs w:val="24"/>
        </w:rPr>
        <w:t>The element nitrogen is a critical nutrient in the metabolisms of all organisms, and yet the majority of organisms are incapable of using nitrogen</w:t>
      </w:r>
      <w:r w:rsidR="001661DA" w:rsidRPr="00C71AF8">
        <w:rPr>
          <w:rFonts w:ascii="Times New Roman" w:hAnsi="Times New Roman" w:cs="Times New Roman"/>
          <w:sz w:val="24"/>
          <w:szCs w:val="24"/>
        </w:rPr>
        <w:t xml:space="preserve"> in its most common form</w:t>
      </w:r>
      <w:r w:rsidR="00BF0B7D" w:rsidRPr="00C71AF8">
        <w:rPr>
          <w:rFonts w:ascii="Times New Roman" w:hAnsi="Times New Roman" w:cs="Times New Roman"/>
          <w:sz w:val="24"/>
          <w:szCs w:val="24"/>
        </w:rPr>
        <w:t>,</w:t>
      </w:r>
      <w:r w:rsidR="001661DA" w:rsidRPr="00C71AF8">
        <w:rPr>
          <w:rFonts w:ascii="Times New Roman" w:hAnsi="Times New Roman" w:cs="Times New Roman"/>
          <w:sz w:val="24"/>
          <w:szCs w:val="24"/>
        </w:rPr>
        <w:t xml:space="preserve"> </w:t>
      </w:r>
      <w:r w:rsidRPr="00C71AF8">
        <w:rPr>
          <w:rFonts w:ascii="Times New Roman" w:hAnsi="Times New Roman" w:cs="Times New Roman"/>
          <w:sz w:val="24"/>
          <w:szCs w:val="24"/>
        </w:rPr>
        <w:t>nitrogen gas</w:t>
      </w:r>
      <w:r w:rsidR="00BF0B7D" w:rsidRPr="00C71AF8">
        <w:rPr>
          <w:rFonts w:ascii="Times New Roman" w:hAnsi="Times New Roman" w:cs="Times New Roman"/>
          <w:sz w:val="24"/>
          <w:szCs w:val="24"/>
        </w:rPr>
        <w:t xml:space="preserve"> </w:t>
      </w:r>
      <w:r w:rsidRPr="00C71AF8">
        <w:rPr>
          <w:rFonts w:ascii="Times New Roman" w:hAnsi="Times New Roman" w:cs="Times New Roman"/>
          <w:sz w:val="24"/>
          <w:szCs w:val="24"/>
        </w:rPr>
        <w:t>(N</w:t>
      </w:r>
      <w:r w:rsidRPr="00C71AF8">
        <w:rPr>
          <w:rFonts w:ascii="Times New Roman" w:hAnsi="Times New Roman" w:cs="Times New Roman"/>
          <w:sz w:val="24"/>
          <w:szCs w:val="24"/>
          <w:vertAlign w:val="subscript"/>
        </w:rPr>
        <w:t>2</w:t>
      </w:r>
      <w:r w:rsidRPr="00C71AF8">
        <w:rPr>
          <w:rFonts w:ascii="Times New Roman" w:hAnsi="Times New Roman" w:cs="Times New Roman"/>
          <w:sz w:val="24"/>
          <w:szCs w:val="24"/>
        </w:rPr>
        <w:t>).  Instead, all organisms in an ecosystem depend on a group of soil bacteria to perform “Biological Fixation” during which they convert</w:t>
      </w:r>
      <w:r w:rsidR="00E24C1D" w:rsidRPr="00C71AF8">
        <w:rPr>
          <w:rFonts w:ascii="Times New Roman" w:hAnsi="Times New Roman" w:cs="Times New Roman"/>
          <w:sz w:val="24"/>
          <w:szCs w:val="24"/>
        </w:rPr>
        <w:t xml:space="preserve"> the nitrogen gas into ammonium</w:t>
      </w:r>
      <w:r w:rsidR="00BF0B7D" w:rsidRPr="00C71AF8">
        <w:rPr>
          <w:rFonts w:ascii="Times New Roman" w:hAnsi="Times New Roman" w:cs="Times New Roman"/>
          <w:sz w:val="24"/>
          <w:szCs w:val="24"/>
        </w:rPr>
        <w:t xml:space="preserve"> </w:t>
      </w:r>
      <w:r w:rsidR="00E24C1D" w:rsidRPr="00C71AF8">
        <w:rPr>
          <w:rFonts w:ascii="Times New Roman" w:hAnsi="Times New Roman" w:cs="Times New Roman"/>
          <w:sz w:val="24"/>
          <w:szCs w:val="24"/>
        </w:rPr>
        <w:t>(NH</w:t>
      </w:r>
      <w:r w:rsidR="00E24C1D" w:rsidRPr="00C71AF8">
        <w:rPr>
          <w:rFonts w:ascii="Times New Roman" w:hAnsi="Times New Roman" w:cs="Times New Roman"/>
          <w:sz w:val="24"/>
          <w:szCs w:val="24"/>
          <w:vertAlign w:val="subscript"/>
        </w:rPr>
        <w:t>4</w:t>
      </w:r>
      <w:r w:rsidR="00BF0B7D" w:rsidRPr="00C71AF8">
        <w:rPr>
          <w:rFonts w:ascii="Times New Roman" w:hAnsi="Times New Roman" w:cs="Times New Roman"/>
          <w:sz w:val="24"/>
          <w:szCs w:val="24"/>
          <w:vertAlign w:val="superscript"/>
        </w:rPr>
        <w:t>+</w:t>
      </w:r>
      <w:r w:rsidR="00E24C1D" w:rsidRPr="00C71AF8">
        <w:rPr>
          <w:rFonts w:ascii="Times New Roman" w:hAnsi="Times New Roman" w:cs="Times New Roman"/>
          <w:sz w:val="24"/>
          <w:szCs w:val="24"/>
        </w:rPr>
        <w:t xml:space="preserve">). </w:t>
      </w:r>
      <w:r w:rsidRPr="00C71AF8">
        <w:rPr>
          <w:rFonts w:ascii="Times New Roman" w:hAnsi="Times New Roman" w:cs="Times New Roman"/>
          <w:sz w:val="24"/>
          <w:szCs w:val="24"/>
        </w:rPr>
        <w:t xml:space="preserve"> </w:t>
      </w:r>
      <w:r w:rsidR="00E24C1D" w:rsidRPr="00C71AF8">
        <w:rPr>
          <w:rFonts w:ascii="Times New Roman" w:hAnsi="Times New Roman" w:cs="Times New Roman"/>
          <w:sz w:val="24"/>
          <w:szCs w:val="24"/>
        </w:rPr>
        <w:t>This ammonium</w:t>
      </w:r>
      <w:r w:rsidRPr="00C71AF8">
        <w:rPr>
          <w:rFonts w:ascii="Times New Roman" w:hAnsi="Times New Roman" w:cs="Times New Roman"/>
          <w:sz w:val="24"/>
          <w:szCs w:val="24"/>
        </w:rPr>
        <w:t xml:space="preserve"> is </w:t>
      </w:r>
      <w:r w:rsidR="00E24C1D" w:rsidRPr="00C71AF8">
        <w:rPr>
          <w:rFonts w:ascii="Times New Roman" w:hAnsi="Times New Roman" w:cs="Times New Roman"/>
          <w:sz w:val="24"/>
          <w:szCs w:val="24"/>
        </w:rPr>
        <w:t>then broken down into nitrite (NO</w:t>
      </w:r>
      <w:r w:rsidR="00E24C1D" w:rsidRPr="00C71AF8">
        <w:rPr>
          <w:rFonts w:ascii="Times New Roman" w:hAnsi="Times New Roman" w:cs="Times New Roman"/>
          <w:sz w:val="24"/>
          <w:szCs w:val="24"/>
          <w:vertAlign w:val="subscript"/>
        </w:rPr>
        <w:t>2</w:t>
      </w:r>
      <w:r w:rsidR="00BF0B7D" w:rsidRPr="00C71AF8">
        <w:rPr>
          <w:rFonts w:ascii="Times New Roman" w:hAnsi="Times New Roman" w:cs="Times New Roman"/>
          <w:sz w:val="24"/>
          <w:szCs w:val="24"/>
          <w:vertAlign w:val="superscript"/>
        </w:rPr>
        <w:t>-</w:t>
      </w:r>
      <w:r w:rsidRPr="00C71AF8">
        <w:rPr>
          <w:rFonts w:ascii="Times New Roman" w:hAnsi="Times New Roman" w:cs="Times New Roman"/>
          <w:sz w:val="24"/>
          <w:szCs w:val="24"/>
        </w:rPr>
        <w:t>) which goes undergoes a process called “Nitrification”</w:t>
      </w:r>
      <w:r w:rsidR="00E24C1D" w:rsidRPr="00C71AF8">
        <w:rPr>
          <w:rFonts w:ascii="Times New Roman" w:hAnsi="Times New Roman" w:cs="Times New Roman"/>
          <w:sz w:val="24"/>
          <w:szCs w:val="24"/>
        </w:rPr>
        <w:t xml:space="preserve"> (Murphy, 2007)</w:t>
      </w:r>
      <w:r w:rsidR="001661DA" w:rsidRPr="00C71AF8">
        <w:rPr>
          <w:rFonts w:ascii="Times New Roman" w:hAnsi="Times New Roman" w:cs="Times New Roman"/>
          <w:sz w:val="24"/>
          <w:szCs w:val="24"/>
        </w:rPr>
        <w:t xml:space="preserve"> that converts</w:t>
      </w:r>
      <w:r w:rsidR="00E24C1D" w:rsidRPr="00C71AF8">
        <w:rPr>
          <w:rFonts w:ascii="Times New Roman" w:hAnsi="Times New Roman" w:cs="Times New Roman"/>
          <w:sz w:val="24"/>
          <w:szCs w:val="24"/>
        </w:rPr>
        <w:t xml:space="preserve"> the NO</w:t>
      </w:r>
      <w:r w:rsidR="00E24C1D" w:rsidRPr="00C71AF8">
        <w:rPr>
          <w:rFonts w:ascii="Times New Roman" w:hAnsi="Times New Roman" w:cs="Times New Roman"/>
          <w:sz w:val="24"/>
          <w:szCs w:val="24"/>
          <w:vertAlign w:val="subscript"/>
        </w:rPr>
        <w:t>2</w:t>
      </w:r>
      <w:r w:rsidR="001661DA" w:rsidRPr="00C71AF8">
        <w:rPr>
          <w:rFonts w:ascii="Times New Roman" w:hAnsi="Times New Roman" w:cs="Times New Roman"/>
          <w:sz w:val="24"/>
          <w:szCs w:val="24"/>
        </w:rPr>
        <w:t>-</w:t>
      </w:r>
      <w:r w:rsidR="00E24C1D" w:rsidRPr="00C71AF8">
        <w:rPr>
          <w:rFonts w:ascii="Times New Roman" w:hAnsi="Times New Roman" w:cs="Times New Roman"/>
          <w:sz w:val="24"/>
          <w:szCs w:val="24"/>
          <w:vertAlign w:val="subscript"/>
        </w:rPr>
        <w:t xml:space="preserve"> </w:t>
      </w:r>
      <w:r w:rsidR="001661DA" w:rsidRPr="00C71AF8">
        <w:rPr>
          <w:rFonts w:ascii="Times New Roman" w:hAnsi="Times New Roman" w:cs="Times New Roman"/>
          <w:sz w:val="24"/>
          <w:szCs w:val="24"/>
        </w:rPr>
        <w:t>in</w:t>
      </w:r>
      <w:r w:rsidR="00E24C1D" w:rsidRPr="00C71AF8">
        <w:rPr>
          <w:rFonts w:ascii="Times New Roman" w:hAnsi="Times New Roman" w:cs="Times New Roman"/>
          <w:sz w:val="24"/>
          <w:szCs w:val="24"/>
        </w:rPr>
        <w:t>to nitrate</w:t>
      </w:r>
      <w:r w:rsidR="00BF0B7D" w:rsidRPr="00C71AF8">
        <w:rPr>
          <w:rFonts w:ascii="Times New Roman" w:hAnsi="Times New Roman" w:cs="Times New Roman"/>
          <w:sz w:val="24"/>
          <w:szCs w:val="24"/>
        </w:rPr>
        <w:t xml:space="preserve"> </w:t>
      </w:r>
      <w:r w:rsidR="00E24C1D" w:rsidRPr="00C71AF8">
        <w:rPr>
          <w:rFonts w:ascii="Times New Roman" w:hAnsi="Times New Roman" w:cs="Times New Roman"/>
          <w:sz w:val="24"/>
          <w:szCs w:val="24"/>
        </w:rPr>
        <w:t>(NO</w:t>
      </w:r>
      <w:r w:rsidR="00E24C1D" w:rsidRPr="00C71AF8">
        <w:rPr>
          <w:rFonts w:ascii="Times New Roman" w:hAnsi="Times New Roman" w:cs="Times New Roman"/>
          <w:sz w:val="24"/>
          <w:szCs w:val="24"/>
          <w:vertAlign w:val="subscript"/>
        </w:rPr>
        <w:t>3</w:t>
      </w:r>
      <w:r w:rsidR="00BF0B7D" w:rsidRPr="00C71AF8">
        <w:rPr>
          <w:rFonts w:ascii="Times New Roman" w:hAnsi="Times New Roman" w:cs="Times New Roman"/>
          <w:sz w:val="24"/>
          <w:szCs w:val="24"/>
          <w:vertAlign w:val="superscript"/>
        </w:rPr>
        <w:t>-</w:t>
      </w:r>
      <w:r w:rsidRPr="00C71AF8">
        <w:rPr>
          <w:rFonts w:ascii="Times New Roman" w:hAnsi="Times New Roman" w:cs="Times New Roman"/>
          <w:sz w:val="24"/>
          <w:szCs w:val="24"/>
        </w:rPr>
        <w:t>). Nitrate is an inorganic form of nitrogen that assists with protein synthesis in plants</w:t>
      </w:r>
      <w:r w:rsidR="00BF0B7D" w:rsidRPr="00C71AF8">
        <w:rPr>
          <w:rFonts w:ascii="Times New Roman" w:hAnsi="Times New Roman" w:cs="Times New Roman"/>
          <w:sz w:val="24"/>
          <w:szCs w:val="24"/>
        </w:rPr>
        <w:t xml:space="preserve"> </w:t>
      </w:r>
      <w:r w:rsidRPr="00C71AF8">
        <w:rPr>
          <w:rFonts w:ascii="Times New Roman" w:hAnsi="Times New Roman" w:cs="Times New Roman"/>
          <w:sz w:val="24"/>
          <w:szCs w:val="24"/>
        </w:rPr>
        <w:t>(Eckard, 2004)</w:t>
      </w:r>
      <w:r w:rsidR="001661DA" w:rsidRPr="00C71AF8">
        <w:rPr>
          <w:rFonts w:ascii="Times New Roman" w:hAnsi="Times New Roman" w:cs="Times New Roman"/>
          <w:sz w:val="24"/>
          <w:szCs w:val="24"/>
        </w:rPr>
        <w:t>, building the immune system</w:t>
      </w:r>
      <w:r w:rsidRPr="00C71AF8">
        <w:rPr>
          <w:rFonts w:ascii="Times New Roman" w:hAnsi="Times New Roman" w:cs="Times New Roman"/>
          <w:sz w:val="24"/>
          <w:szCs w:val="24"/>
        </w:rPr>
        <w:t xml:space="preserve"> and developing and producing seeds</w:t>
      </w:r>
      <w:r w:rsidR="00D06FCB" w:rsidRPr="00C71AF8">
        <w:rPr>
          <w:rFonts w:ascii="Times New Roman" w:hAnsi="Times New Roman" w:cs="Times New Roman"/>
          <w:sz w:val="24"/>
          <w:szCs w:val="24"/>
        </w:rPr>
        <w:t xml:space="preserve"> and so provides this critical element to the rest of the ecosystem through the food chain</w:t>
      </w:r>
      <w:r w:rsidR="00BF0B7D" w:rsidRPr="00C71AF8">
        <w:rPr>
          <w:rFonts w:ascii="Times New Roman" w:hAnsi="Times New Roman" w:cs="Times New Roman"/>
          <w:sz w:val="24"/>
          <w:szCs w:val="24"/>
        </w:rPr>
        <w:t xml:space="preserve"> </w:t>
      </w:r>
      <w:r w:rsidR="00D06FCB" w:rsidRPr="00C71AF8">
        <w:rPr>
          <w:rFonts w:ascii="Times New Roman" w:hAnsi="Times New Roman" w:cs="Times New Roman"/>
          <w:sz w:val="24"/>
          <w:szCs w:val="24"/>
        </w:rPr>
        <w:t>(Serchan and Jones, 2009)</w:t>
      </w:r>
      <w:r w:rsidRPr="00C71AF8">
        <w:rPr>
          <w:rFonts w:ascii="Times New Roman" w:hAnsi="Times New Roman" w:cs="Times New Roman"/>
          <w:sz w:val="24"/>
          <w:szCs w:val="24"/>
        </w:rPr>
        <w:t xml:space="preserve">.  </w:t>
      </w:r>
    </w:p>
    <w:p w:rsidR="009A7606" w:rsidRPr="00C71AF8" w:rsidRDefault="006C6CC5" w:rsidP="00A70CF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 group of plants that is</w:t>
      </w:r>
      <w:r w:rsidR="007C7A90" w:rsidRPr="00C71AF8">
        <w:rPr>
          <w:rFonts w:ascii="Times New Roman" w:hAnsi="Times New Roman" w:cs="Times New Roman"/>
          <w:sz w:val="24"/>
          <w:szCs w:val="24"/>
        </w:rPr>
        <w:t xml:space="preserve"> especially nitroge</w:t>
      </w:r>
      <w:r>
        <w:rPr>
          <w:rFonts w:ascii="Times New Roman" w:hAnsi="Times New Roman" w:cs="Times New Roman"/>
          <w:sz w:val="24"/>
          <w:szCs w:val="24"/>
        </w:rPr>
        <w:t>n dependent is</w:t>
      </w:r>
      <w:r w:rsidR="00BF0B7D" w:rsidRPr="00C71AF8">
        <w:rPr>
          <w:rFonts w:ascii="Times New Roman" w:hAnsi="Times New Roman" w:cs="Times New Roman"/>
          <w:sz w:val="24"/>
          <w:szCs w:val="24"/>
        </w:rPr>
        <w:t xml:space="preserve"> members of the Poaceae family, more commonly known as the grasses. </w:t>
      </w:r>
      <w:r w:rsidR="007C7A90" w:rsidRPr="00C71AF8">
        <w:rPr>
          <w:rFonts w:ascii="Times New Roman" w:hAnsi="Times New Roman" w:cs="Times New Roman"/>
          <w:sz w:val="24"/>
          <w:szCs w:val="24"/>
        </w:rPr>
        <w:t>There are over 10,000 species of these types of plan</w:t>
      </w:r>
      <w:r w:rsidR="00C71AF8">
        <w:rPr>
          <w:rFonts w:ascii="Times New Roman" w:hAnsi="Times New Roman" w:cs="Times New Roman"/>
          <w:sz w:val="24"/>
          <w:szCs w:val="24"/>
        </w:rPr>
        <w:t>ts which</w:t>
      </w:r>
      <w:r w:rsidR="007C7A90" w:rsidRPr="00C71AF8">
        <w:rPr>
          <w:rFonts w:ascii="Times New Roman" w:hAnsi="Times New Roman" w:cs="Times New Roman"/>
          <w:sz w:val="24"/>
          <w:szCs w:val="24"/>
        </w:rPr>
        <w:t xml:space="preserve"> grow in all types of envir</w:t>
      </w:r>
      <w:r w:rsidR="00BF0B7D" w:rsidRPr="00C71AF8">
        <w:rPr>
          <w:rFonts w:ascii="Times New Roman" w:hAnsi="Times New Roman" w:cs="Times New Roman"/>
          <w:sz w:val="24"/>
          <w:szCs w:val="24"/>
        </w:rPr>
        <w:t xml:space="preserve">onments from desert to marine (Hilty, 2014). </w:t>
      </w:r>
      <w:r w:rsidR="007C7A90" w:rsidRPr="00C71AF8">
        <w:rPr>
          <w:rFonts w:ascii="Times New Roman" w:hAnsi="Times New Roman" w:cs="Times New Roman"/>
          <w:sz w:val="24"/>
          <w:szCs w:val="24"/>
        </w:rPr>
        <w:t xml:space="preserve">  </w:t>
      </w:r>
      <w:r w:rsidR="00BF0B7D" w:rsidRPr="00C71AF8">
        <w:rPr>
          <w:rFonts w:ascii="Times New Roman" w:hAnsi="Times New Roman" w:cs="Times New Roman"/>
          <w:sz w:val="24"/>
          <w:szCs w:val="24"/>
        </w:rPr>
        <w:t xml:space="preserve">But one thing </w:t>
      </w:r>
      <w:r w:rsidR="001661DA" w:rsidRPr="00C71AF8">
        <w:rPr>
          <w:rFonts w:ascii="Times New Roman" w:hAnsi="Times New Roman" w:cs="Times New Roman"/>
          <w:sz w:val="24"/>
          <w:szCs w:val="24"/>
        </w:rPr>
        <w:t xml:space="preserve">all members of this family of plants have in common is their prodigious appetite for nitrogen, specifically nitrate. </w:t>
      </w:r>
      <w:r w:rsidR="003C3221" w:rsidRPr="00C71AF8">
        <w:rPr>
          <w:rFonts w:ascii="Times New Roman" w:hAnsi="Times New Roman" w:cs="Times New Roman"/>
          <w:sz w:val="24"/>
          <w:szCs w:val="24"/>
        </w:rPr>
        <w:t xml:space="preserve">Grass </w:t>
      </w:r>
      <w:r w:rsidR="00E510CE" w:rsidRPr="00C71AF8">
        <w:rPr>
          <w:rFonts w:ascii="Times New Roman" w:hAnsi="Times New Roman" w:cs="Times New Roman"/>
          <w:sz w:val="24"/>
          <w:szCs w:val="24"/>
        </w:rPr>
        <w:t>consumes large amounts of nitroge</w:t>
      </w:r>
      <w:r w:rsidR="00BF0B7D" w:rsidRPr="00C71AF8">
        <w:rPr>
          <w:rFonts w:ascii="Times New Roman" w:hAnsi="Times New Roman" w:cs="Times New Roman"/>
          <w:sz w:val="24"/>
          <w:szCs w:val="24"/>
        </w:rPr>
        <w:t>n from soil in order to complete its relatively short life cycle; t</w:t>
      </w:r>
      <w:r w:rsidR="00617AC9" w:rsidRPr="00C71AF8">
        <w:rPr>
          <w:rFonts w:ascii="Times New Roman" w:hAnsi="Times New Roman" w:cs="Times New Roman"/>
          <w:sz w:val="24"/>
          <w:szCs w:val="24"/>
        </w:rPr>
        <w:t>herefor</w:t>
      </w:r>
      <w:r w:rsidR="00E11B05" w:rsidRPr="00C71AF8">
        <w:rPr>
          <w:rFonts w:ascii="Times New Roman" w:hAnsi="Times New Roman" w:cs="Times New Roman"/>
          <w:sz w:val="24"/>
          <w:szCs w:val="24"/>
        </w:rPr>
        <w:t>e</w:t>
      </w:r>
      <w:r w:rsidR="00617AC9" w:rsidRPr="00C71AF8">
        <w:rPr>
          <w:rFonts w:ascii="Times New Roman" w:hAnsi="Times New Roman" w:cs="Times New Roman"/>
          <w:sz w:val="24"/>
          <w:szCs w:val="24"/>
        </w:rPr>
        <w:t>,</w:t>
      </w:r>
      <w:r w:rsidR="00D61A87" w:rsidRPr="00C71AF8">
        <w:rPr>
          <w:rFonts w:ascii="Times New Roman" w:hAnsi="Times New Roman" w:cs="Times New Roman"/>
          <w:sz w:val="24"/>
          <w:szCs w:val="24"/>
        </w:rPr>
        <w:t xml:space="preserve"> </w:t>
      </w:r>
      <w:r w:rsidR="00617AC9" w:rsidRPr="00C71AF8">
        <w:rPr>
          <w:rFonts w:ascii="Times New Roman" w:hAnsi="Times New Roman" w:cs="Times New Roman"/>
          <w:sz w:val="24"/>
          <w:szCs w:val="24"/>
        </w:rPr>
        <w:t>s</w:t>
      </w:r>
      <w:r w:rsidR="00E510CE" w:rsidRPr="00C71AF8">
        <w:rPr>
          <w:rFonts w:ascii="Times New Roman" w:hAnsi="Times New Roman" w:cs="Times New Roman"/>
          <w:sz w:val="24"/>
          <w:szCs w:val="24"/>
        </w:rPr>
        <w:t>ince grass reproduces rapidly, it is able to deplete large amounts of</w:t>
      </w:r>
      <w:r w:rsidR="001661DA" w:rsidRPr="00C71AF8">
        <w:rPr>
          <w:rFonts w:ascii="Times New Roman" w:hAnsi="Times New Roman" w:cs="Times New Roman"/>
          <w:sz w:val="24"/>
          <w:szCs w:val="24"/>
        </w:rPr>
        <w:t xml:space="preserve"> nitrogen in a particular area (Encyclopedia Britannica Inc., 2014). </w:t>
      </w:r>
    </w:p>
    <w:p w:rsidR="003759EA" w:rsidRPr="00C71AF8" w:rsidRDefault="006C1EED" w:rsidP="00A70CF9">
      <w:pPr>
        <w:spacing w:after="0" w:line="240" w:lineRule="auto"/>
        <w:rPr>
          <w:rFonts w:ascii="Times New Roman" w:hAnsi="Times New Roman" w:cs="Times New Roman"/>
          <w:sz w:val="24"/>
          <w:szCs w:val="24"/>
        </w:rPr>
      </w:pPr>
      <w:r w:rsidRPr="00C71AF8">
        <w:rPr>
          <w:rFonts w:ascii="Times New Roman" w:hAnsi="Times New Roman" w:cs="Times New Roman"/>
          <w:sz w:val="24"/>
          <w:szCs w:val="24"/>
        </w:rPr>
        <w:tab/>
      </w:r>
      <w:r w:rsidR="009F2BF5" w:rsidRPr="00C71AF8">
        <w:rPr>
          <w:rFonts w:ascii="Times New Roman" w:hAnsi="Times New Roman" w:cs="Times New Roman"/>
          <w:sz w:val="24"/>
          <w:szCs w:val="24"/>
        </w:rPr>
        <w:t xml:space="preserve"> </w:t>
      </w:r>
      <w:r w:rsidR="00FF263C" w:rsidRPr="00C71AF8">
        <w:rPr>
          <w:rFonts w:ascii="Times New Roman" w:hAnsi="Times New Roman" w:cs="Times New Roman"/>
          <w:sz w:val="24"/>
          <w:szCs w:val="24"/>
        </w:rPr>
        <w:t>However, while the grass</w:t>
      </w:r>
      <w:r w:rsidR="00BF0B7D" w:rsidRPr="00C71AF8">
        <w:rPr>
          <w:rFonts w:ascii="Times New Roman" w:hAnsi="Times New Roman" w:cs="Times New Roman"/>
          <w:sz w:val="24"/>
          <w:szCs w:val="24"/>
        </w:rPr>
        <w:t>es</w:t>
      </w:r>
      <w:r w:rsidR="00FF263C" w:rsidRPr="00C71AF8">
        <w:rPr>
          <w:rFonts w:ascii="Times New Roman" w:hAnsi="Times New Roman" w:cs="Times New Roman"/>
          <w:sz w:val="24"/>
          <w:szCs w:val="24"/>
        </w:rPr>
        <w:t xml:space="preserve"> and other plants are one of the main consumers of</w:t>
      </w:r>
      <w:r w:rsidR="00BF0B7D" w:rsidRPr="00C71AF8">
        <w:rPr>
          <w:rFonts w:ascii="Times New Roman" w:hAnsi="Times New Roman" w:cs="Times New Roman"/>
          <w:sz w:val="24"/>
          <w:szCs w:val="24"/>
        </w:rPr>
        <w:t xml:space="preserve"> soil </w:t>
      </w:r>
      <w:r w:rsidR="00FF263C" w:rsidRPr="00C71AF8">
        <w:rPr>
          <w:rFonts w:ascii="Times New Roman" w:hAnsi="Times New Roman" w:cs="Times New Roman"/>
          <w:sz w:val="24"/>
          <w:szCs w:val="24"/>
        </w:rPr>
        <w:t xml:space="preserve">nitrate, they are not the only possible source of nitrate depletion in soils. The </w:t>
      </w:r>
      <w:r w:rsidR="00BF0B7D" w:rsidRPr="00C71AF8">
        <w:rPr>
          <w:rFonts w:ascii="Times New Roman" w:hAnsi="Times New Roman" w:cs="Times New Roman"/>
          <w:sz w:val="24"/>
          <w:szCs w:val="24"/>
        </w:rPr>
        <w:t xml:space="preserve">annual </w:t>
      </w:r>
      <w:r w:rsidR="00FF263C" w:rsidRPr="00C71AF8">
        <w:rPr>
          <w:rFonts w:ascii="Times New Roman" w:hAnsi="Times New Roman" w:cs="Times New Roman"/>
          <w:sz w:val="24"/>
          <w:szCs w:val="24"/>
        </w:rPr>
        <w:t>E.S.S.R.E. Biota survey</w:t>
      </w:r>
      <w:r w:rsidR="00195F4E" w:rsidRPr="00C71AF8">
        <w:rPr>
          <w:rFonts w:ascii="Times New Roman" w:hAnsi="Times New Roman" w:cs="Times New Roman"/>
          <w:sz w:val="24"/>
          <w:szCs w:val="24"/>
        </w:rPr>
        <w:t xml:space="preserve"> </w:t>
      </w:r>
      <w:r w:rsidR="00FF263C" w:rsidRPr="00C71AF8">
        <w:rPr>
          <w:rFonts w:ascii="Times New Roman" w:hAnsi="Times New Roman" w:cs="Times New Roman"/>
          <w:sz w:val="24"/>
          <w:szCs w:val="24"/>
        </w:rPr>
        <w:t>(ESSRE, 2014) once again revealed statistically significantly low nitrate levels</w:t>
      </w:r>
      <w:r w:rsidR="00BF0B7D" w:rsidRPr="00C71AF8">
        <w:rPr>
          <w:rFonts w:ascii="Times New Roman" w:hAnsi="Times New Roman" w:cs="Times New Roman"/>
          <w:sz w:val="24"/>
          <w:szCs w:val="24"/>
        </w:rPr>
        <w:t xml:space="preserve"> </w:t>
      </w:r>
      <w:r w:rsidR="00FF263C" w:rsidRPr="00C71AF8">
        <w:rPr>
          <w:rFonts w:ascii="Times New Roman" w:hAnsi="Times New Roman" w:cs="Times New Roman"/>
          <w:sz w:val="24"/>
          <w:szCs w:val="24"/>
        </w:rPr>
        <w:t xml:space="preserve">(5.6 ppm) in Site 4, a partial wetlands with an average pH level of 7.2 and therefore a location one would expect an abundance of nitrate available. </w:t>
      </w:r>
      <w:r w:rsidR="00BF0B7D" w:rsidRPr="00C71AF8">
        <w:rPr>
          <w:rFonts w:ascii="Times New Roman" w:hAnsi="Times New Roman" w:cs="Times New Roman"/>
          <w:sz w:val="24"/>
          <w:szCs w:val="24"/>
        </w:rPr>
        <w:t>But as figure 1 shows, nitrate levels have been steadily declining for over a decade, and as part of the E.S.S.R.E. program, members of the 2009 and 2013 research team</w:t>
      </w:r>
      <w:r w:rsidR="005435C8" w:rsidRPr="00C71AF8">
        <w:rPr>
          <w:rFonts w:ascii="Times New Roman" w:hAnsi="Times New Roman" w:cs="Times New Roman"/>
          <w:sz w:val="24"/>
          <w:szCs w:val="24"/>
        </w:rPr>
        <w:t>s</w:t>
      </w:r>
      <w:r w:rsidR="00BF0B7D" w:rsidRPr="00C71AF8">
        <w:rPr>
          <w:rFonts w:ascii="Times New Roman" w:hAnsi="Times New Roman" w:cs="Times New Roman"/>
          <w:sz w:val="24"/>
          <w:szCs w:val="24"/>
        </w:rPr>
        <w:t xml:space="preserve"> have been able to narrow the possible causes down either to </w:t>
      </w:r>
      <w:r w:rsidR="005435C8" w:rsidRPr="00C71AF8">
        <w:rPr>
          <w:rFonts w:ascii="Times New Roman" w:hAnsi="Times New Roman" w:cs="Times New Roman"/>
          <w:sz w:val="24"/>
          <w:szCs w:val="24"/>
        </w:rPr>
        <w:t xml:space="preserve">the </w:t>
      </w:r>
      <w:r w:rsidR="00BF0B7D" w:rsidRPr="00C71AF8">
        <w:rPr>
          <w:rFonts w:ascii="Times New Roman" w:hAnsi="Times New Roman" w:cs="Times New Roman"/>
          <w:sz w:val="24"/>
          <w:szCs w:val="24"/>
        </w:rPr>
        <w:t>white</w:t>
      </w:r>
      <w:r w:rsidR="00195F4E" w:rsidRPr="00C71AF8">
        <w:rPr>
          <w:rFonts w:ascii="Times New Roman" w:hAnsi="Times New Roman" w:cs="Times New Roman"/>
          <w:sz w:val="24"/>
          <w:szCs w:val="24"/>
        </w:rPr>
        <w:t xml:space="preserve"> </w:t>
      </w:r>
      <w:r w:rsidR="00BF0B7D" w:rsidRPr="00C71AF8">
        <w:rPr>
          <w:rFonts w:ascii="Times New Roman" w:hAnsi="Times New Roman" w:cs="Times New Roman"/>
          <w:sz w:val="24"/>
          <w:szCs w:val="24"/>
        </w:rPr>
        <w:t>grass</w:t>
      </w:r>
      <w:r w:rsidR="005435C8" w:rsidRPr="00C71AF8">
        <w:rPr>
          <w:rFonts w:ascii="Times New Roman" w:hAnsi="Times New Roman" w:cs="Times New Roman"/>
          <w:sz w:val="24"/>
          <w:szCs w:val="24"/>
        </w:rPr>
        <w:t xml:space="preserve"> (</w:t>
      </w:r>
      <w:r w:rsidR="005435C8" w:rsidRPr="00C71AF8">
        <w:rPr>
          <w:rFonts w:ascii="Times New Roman" w:hAnsi="Times New Roman" w:cs="Times New Roman"/>
          <w:i/>
          <w:sz w:val="24"/>
          <w:szCs w:val="24"/>
        </w:rPr>
        <w:t>leersia virginicia</w:t>
      </w:r>
      <w:r w:rsidR="005435C8" w:rsidRPr="00C71AF8">
        <w:rPr>
          <w:rFonts w:ascii="Times New Roman" w:hAnsi="Times New Roman" w:cs="Times New Roman"/>
          <w:sz w:val="24"/>
          <w:szCs w:val="24"/>
        </w:rPr>
        <w:t>)</w:t>
      </w:r>
      <w:r w:rsidR="00BF0B7D" w:rsidRPr="00C71AF8">
        <w:rPr>
          <w:rFonts w:ascii="Times New Roman" w:hAnsi="Times New Roman" w:cs="Times New Roman"/>
          <w:sz w:val="24"/>
          <w:szCs w:val="24"/>
        </w:rPr>
        <w:t xml:space="preserve"> that has been steadily invading Site 4 or soil leaching due </w:t>
      </w:r>
      <w:r w:rsidR="005435C8" w:rsidRPr="00C71AF8">
        <w:rPr>
          <w:rFonts w:ascii="Times New Roman" w:hAnsi="Times New Roman" w:cs="Times New Roman"/>
          <w:sz w:val="24"/>
          <w:szCs w:val="24"/>
        </w:rPr>
        <w:t>to the change of water flow in Site 4(Laria, Shay, &amp; Kuser, 2014</w:t>
      </w:r>
      <w:r w:rsidR="00BF0B7D" w:rsidRPr="00C71AF8">
        <w:rPr>
          <w:rFonts w:ascii="Times New Roman" w:hAnsi="Times New Roman" w:cs="Times New Roman"/>
          <w:sz w:val="24"/>
          <w:szCs w:val="24"/>
        </w:rPr>
        <w:t xml:space="preserve">). </w:t>
      </w:r>
      <w:r w:rsidR="00195F4E" w:rsidRPr="00C71AF8">
        <w:rPr>
          <w:rFonts w:ascii="Times New Roman" w:hAnsi="Times New Roman" w:cs="Times New Roman"/>
          <w:sz w:val="24"/>
          <w:szCs w:val="24"/>
        </w:rPr>
        <w:t xml:space="preserve">Our research team decided to test the white grass hypothesis. </w:t>
      </w:r>
      <w:r w:rsidR="005435C8" w:rsidRPr="00C71AF8">
        <w:rPr>
          <w:rFonts w:ascii="Times New Roman" w:hAnsi="Times New Roman" w:cs="Times New Roman"/>
          <w:sz w:val="24"/>
          <w:szCs w:val="24"/>
        </w:rPr>
        <w:t xml:space="preserve"> </w:t>
      </w:r>
    </w:p>
    <w:p w:rsidR="00A70CF9" w:rsidRPr="00C71AF8" w:rsidRDefault="00A70CF9" w:rsidP="00A70CF9">
      <w:pPr>
        <w:spacing w:after="0" w:line="240" w:lineRule="auto"/>
        <w:rPr>
          <w:rFonts w:ascii="Times New Roman" w:hAnsi="Times New Roman" w:cs="Times New Roman"/>
          <w:sz w:val="24"/>
          <w:szCs w:val="24"/>
        </w:rPr>
      </w:pPr>
    </w:p>
    <w:p w:rsidR="005435C8" w:rsidRPr="00C71AF8" w:rsidRDefault="005435C8" w:rsidP="00A70CF9">
      <w:pPr>
        <w:spacing w:after="0" w:line="240" w:lineRule="auto"/>
        <w:rPr>
          <w:rFonts w:ascii="Times New Roman" w:hAnsi="Times New Roman" w:cs="Times New Roman"/>
          <w:sz w:val="24"/>
          <w:szCs w:val="24"/>
        </w:rPr>
      </w:pPr>
      <w:r w:rsidRPr="00C71AF8">
        <w:rPr>
          <w:rFonts w:ascii="Times New Roman" w:hAnsi="Times New Roman" w:cs="Times New Roman"/>
          <w:sz w:val="24"/>
          <w:szCs w:val="24"/>
        </w:rPr>
        <w:t>Figure 1</w:t>
      </w:r>
    </w:p>
    <w:p w:rsidR="005435C8" w:rsidRPr="00C71AF8" w:rsidRDefault="005435C8" w:rsidP="00A70CF9">
      <w:pPr>
        <w:spacing w:after="0" w:line="240" w:lineRule="auto"/>
        <w:rPr>
          <w:rFonts w:ascii="Times New Roman" w:hAnsi="Times New Roman" w:cs="Times New Roman"/>
        </w:rPr>
      </w:pPr>
      <w:r w:rsidRPr="00C71AF8">
        <w:rPr>
          <w:rFonts w:ascii="Times New Roman" w:hAnsi="Times New Roman" w:cs="Times New Roman"/>
          <w:noProof/>
        </w:rPr>
        <w:drawing>
          <wp:inline distT="0" distB="0" distL="0" distR="0" wp14:anchorId="2FC265F6" wp14:editId="4FCE6895">
            <wp:extent cx="2857500" cy="2333625"/>
            <wp:effectExtent l="0" t="0" r="0" b="9525"/>
            <wp:docPr id="2" name="Picture 2" descr="cid:image003.png@01CFA586.09718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A586.097188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2333625"/>
                    </a:xfrm>
                    <a:prstGeom prst="rect">
                      <a:avLst/>
                    </a:prstGeom>
                    <a:noFill/>
                    <a:ln>
                      <a:noFill/>
                    </a:ln>
                  </pic:spPr>
                </pic:pic>
              </a:graphicData>
            </a:graphic>
          </wp:inline>
        </w:drawing>
      </w:r>
    </w:p>
    <w:p w:rsidR="00A70CF9" w:rsidRPr="00C71AF8" w:rsidRDefault="00A70CF9" w:rsidP="00A70CF9">
      <w:pPr>
        <w:spacing w:after="0" w:line="240" w:lineRule="auto"/>
        <w:rPr>
          <w:rFonts w:ascii="Times New Roman" w:hAnsi="Times New Roman" w:cs="Times New Roman"/>
        </w:rPr>
      </w:pPr>
    </w:p>
    <w:p w:rsidR="00A70CF9" w:rsidRPr="00C71AF8" w:rsidRDefault="00A70CF9" w:rsidP="00A70CF9">
      <w:pPr>
        <w:spacing w:after="0" w:line="240" w:lineRule="auto"/>
        <w:rPr>
          <w:rFonts w:ascii="Times New Roman" w:hAnsi="Times New Roman" w:cs="Times New Roman"/>
        </w:rPr>
      </w:pPr>
    </w:p>
    <w:p w:rsidR="00A70CF9" w:rsidRPr="00C71AF8" w:rsidRDefault="00A70CF9" w:rsidP="00A70CF9">
      <w:pPr>
        <w:spacing w:after="0" w:line="240" w:lineRule="auto"/>
        <w:rPr>
          <w:rFonts w:ascii="Times New Roman" w:hAnsi="Times New Roman" w:cs="Times New Roman"/>
        </w:rPr>
      </w:pPr>
    </w:p>
    <w:p w:rsidR="00A70CF9" w:rsidRPr="00C71AF8" w:rsidRDefault="00A70CF9" w:rsidP="00A70CF9">
      <w:pPr>
        <w:spacing w:after="0" w:line="240" w:lineRule="auto"/>
        <w:rPr>
          <w:rFonts w:ascii="Times New Roman" w:hAnsi="Times New Roman" w:cs="Times New Roman"/>
        </w:rPr>
      </w:pPr>
      <w:r w:rsidRPr="00C71AF8">
        <w:rPr>
          <w:rFonts w:ascii="Times New Roman" w:hAnsi="Times New Roman" w:cs="Times New Roman"/>
        </w:rPr>
        <w:t>Method</w:t>
      </w:r>
    </w:p>
    <w:p w:rsidR="00A70CF9" w:rsidRPr="00C71AF8" w:rsidRDefault="00A70CF9" w:rsidP="00A70CF9">
      <w:pPr>
        <w:spacing w:after="0" w:line="240" w:lineRule="auto"/>
        <w:rPr>
          <w:rFonts w:ascii="Times New Roman" w:hAnsi="Times New Roman" w:cs="Times New Roman"/>
        </w:rPr>
      </w:pPr>
    </w:p>
    <w:p w:rsidR="00A70CF9" w:rsidRDefault="00A70CF9" w:rsidP="00BE75D7">
      <w:pPr>
        <w:spacing w:line="240" w:lineRule="auto"/>
        <w:ind w:firstLine="720"/>
        <w:rPr>
          <w:rFonts w:ascii="Times New Roman" w:hAnsi="Times New Roman" w:cs="Times New Roman"/>
        </w:rPr>
      </w:pPr>
      <w:r w:rsidRPr="00C71AF8">
        <w:rPr>
          <w:rFonts w:ascii="Times New Roman" w:hAnsi="Times New Roman" w:cs="Times New Roman"/>
        </w:rPr>
        <w:t xml:space="preserve">In E.S.S.R.E. Site 4 (ESSRE, 2001), 4 ½ meter by ½ meter plots were determined based on the percentage of white grass (Leersia virginica) present among the plant life located in a given plot: plot 1 contained no plant life of any kind to serve as a positive control; plot 2 contained plant life but 0% white grass; plot 3 contained plant life that was 50% white grass and 50% the plant life found in plot 2; and plot 4 contained 100% white grass. Within each plot, 5 separate 15 cm deep soil samples were taken using a soil core extractor with a 2 cm diameter on a daily basis for 5 days. All samples were tested for nitrate levels (ppm) using the LaMotte MODEL STH-14 soil test kit.  </w:t>
      </w:r>
    </w:p>
    <w:tbl>
      <w:tblPr>
        <w:tblStyle w:val="LightShading"/>
        <w:tblpPr w:leftFromText="180" w:rightFromText="180" w:vertAnchor="text" w:horzAnchor="margin" w:tblpY="166"/>
        <w:tblW w:w="0" w:type="auto"/>
        <w:tblBorders>
          <w:top w:val="none" w:sz="0" w:space="0" w:color="auto"/>
          <w:bottom w:val="none" w:sz="0" w:space="0" w:color="auto"/>
        </w:tblBorders>
        <w:tblLook w:val="04A0" w:firstRow="1" w:lastRow="0" w:firstColumn="1" w:lastColumn="0" w:noHBand="0" w:noVBand="1"/>
      </w:tblPr>
      <w:tblGrid>
        <w:gridCol w:w="5778"/>
      </w:tblGrid>
      <w:tr w:rsidR="00C71AF8" w:rsidTr="008F7D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right w:val="none" w:sz="0" w:space="0" w:color="auto"/>
            </w:tcBorders>
          </w:tcPr>
          <w:p w:rsidR="00C71AF8" w:rsidRPr="00C71AF8" w:rsidRDefault="00C71AF8" w:rsidP="008F7D40">
            <w:pPr>
              <w:rPr>
                <w:rFonts w:ascii="Times New Roman" w:hAnsi="Times New Roman" w:cs="Times New Roman"/>
                <w:b w:val="0"/>
                <w:sz w:val="24"/>
                <w:szCs w:val="24"/>
              </w:rPr>
            </w:pPr>
            <w:r w:rsidRPr="00C71AF8">
              <w:rPr>
                <w:rFonts w:ascii="Times New Roman" w:hAnsi="Times New Roman" w:cs="Times New Roman"/>
                <w:b w:val="0"/>
                <w:sz w:val="24"/>
                <w:szCs w:val="24"/>
              </w:rPr>
              <w:t>Results</w:t>
            </w:r>
          </w:p>
          <w:p w:rsidR="00C71AF8" w:rsidRDefault="00C71AF8" w:rsidP="008F7D40">
            <w:pPr>
              <w:rPr>
                <w:rFonts w:ascii="Times New Roman" w:hAnsi="Times New Roman" w:cs="Times New Roman"/>
                <w:b w:val="0"/>
                <w:sz w:val="24"/>
                <w:szCs w:val="24"/>
                <w:u w:val="single"/>
              </w:rPr>
            </w:pPr>
          </w:p>
          <w:p w:rsidR="00C71AF8" w:rsidRPr="00C71AF8" w:rsidRDefault="00C71AF8" w:rsidP="008F7D40">
            <w:pPr>
              <w:rPr>
                <w:rFonts w:ascii="Times New Roman" w:hAnsi="Times New Roman" w:cs="Times New Roman"/>
                <w:b w:val="0"/>
                <w:sz w:val="24"/>
                <w:szCs w:val="24"/>
                <w:u w:val="single"/>
              </w:rPr>
            </w:pPr>
            <w:r w:rsidRPr="00C71AF8">
              <w:rPr>
                <w:rFonts w:ascii="Times New Roman" w:hAnsi="Times New Roman" w:cs="Times New Roman"/>
                <w:b w:val="0"/>
                <w:sz w:val="24"/>
                <w:szCs w:val="24"/>
                <w:u w:val="single"/>
              </w:rPr>
              <w:t>Table 1</w:t>
            </w:r>
          </w:p>
        </w:tc>
      </w:tr>
    </w:tbl>
    <w:p w:rsidR="00C71AF8" w:rsidRDefault="00C71AF8" w:rsidP="00C71AF8">
      <w:pPr>
        <w:rPr>
          <w:u w:val="single"/>
        </w:rPr>
      </w:pPr>
    </w:p>
    <w:tbl>
      <w:tblPr>
        <w:tblStyle w:val="TableGrid"/>
        <w:tblpPr w:leftFromText="180" w:rightFromText="180" w:vertAnchor="text" w:horzAnchor="margin" w:tblpY="693"/>
        <w:tblW w:w="5760" w:type="dxa"/>
        <w:tblLook w:val="04A0" w:firstRow="1" w:lastRow="0" w:firstColumn="1" w:lastColumn="0" w:noHBand="0" w:noVBand="1"/>
      </w:tblPr>
      <w:tblGrid>
        <w:gridCol w:w="1285"/>
        <w:gridCol w:w="1271"/>
        <w:gridCol w:w="1284"/>
        <w:gridCol w:w="960"/>
        <w:gridCol w:w="960"/>
      </w:tblGrid>
      <w:tr w:rsidR="00C71AF8" w:rsidRPr="0042188C" w:rsidTr="00C71AF8">
        <w:trPr>
          <w:trHeight w:val="300"/>
        </w:trPr>
        <w:tc>
          <w:tcPr>
            <w:tcW w:w="3840" w:type="dxa"/>
            <w:gridSpan w:val="3"/>
            <w:noWrap/>
            <w:hideMark/>
          </w:tcPr>
          <w:p w:rsidR="00C71AF8" w:rsidRPr="0042188C" w:rsidRDefault="00C71AF8" w:rsidP="00C71AF8">
            <w:pPr>
              <w:rPr>
                <w:rFonts w:ascii="Calibri" w:eastAsia="Times New Roman" w:hAnsi="Calibri" w:cs="Times New Roman"/>
                <w:color w:val="000000"/>
              </w:rPr>
            </w:pPr>
            <w:r>
              <w:rPr>
                <w:rFonts w:ascii="Calibri" w:eastAsia="Times New Roman" w:hAnsi="Calibri" w:cs="Times New Roman"/>
                <w:color w:val="000000"/>
              </w:rPr>
              <w:t>P-</w:t>
            </w:r>
            <w:r w:rsidRPr="0042188C">
              <w:rPr>
                <w:rFonts w:ascii="Calibri" w:eastAsia="Times New Roman" w:hAnsi="Calibri" w:cs="Times New Roman"/>
                <w:color w:val="000000"/>
              </w:rPr>
              <w:t>Values Between Quadrants</w:t>
            </w:r>
          </w:p>
        </w:tc>
        <w:tc>
          <w:tcPr>
            <w:tcW w:w="960" w:type="dxa"/>
            <w:noWrap/>
            <w:hideMark/>
          </w:tcPr>
          <w:p w:rsidR="00C71AF8" w:rsidRPr="0042188C" w:rsidRDefault="00C71AF8" w:rsidP="00C71AF8">
            <w:pPr>
              <w:rPr>
                <w:rFonts w:ascii="Calibri" w:eastAsia="Times New Roman" w:hAnsi="Calibri" w:cs="Times New Roman"/>
                <w:color w:val="000000"/>
              </w:rPr>
            </w:pPr>
          </w:p>
        </w:tc>
        <w:tc>
          <w:tcPr>
            <w:tcW w:w="960" w:type="dxa"/>
            <w:noWrap/>
            <w:hideMark/>
          </w:tcPr>
          <w:p w:rsidR="00C71AF8" w:rsidRPr="0042188C" w:rsidRDefault="00C71AF8" w:rsidP="00C71AF8">
            <w:pPr>
              <w:rPr>
                <w:rFonts w:ascii="Calibri" w:eastAsia="Times New Roman" w:hAnsi="Calibri" w:cs="Times New Roman"/>
                <w:color w:val="000000"/>
              </w:rPr>
            </w:pP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u w:val="single"/>
              </w:rPr>
            </w:pPr>
            <w:r w:rsidRPr="0042188C">
              <w:rPr>
                <w:rFonts w:ascii="Calibri" w:eastAsia="Times New Roman" w:hAnsi="Calibri" w:cs="Times New Roman"/>
                <w:color w:val="000000"/>
                <w:u w:val="single"/>
              </w:rPr>
              <w:t>Day 1</w:t>
            </w:r>
          </w:p>
        </w:tc>
        <w:tc>
          <w:tcPr>
            <w:tcW w:w="1271" w:type="dxa"/>
            <w:noWrap/>
            <w:hideMark/>
          </w:tcPr>
          <w:p w:rsidR="00C71AF8" w:rsidRPr="0042188C" w:rsidRDefault="00C71AF8" w:rsidP="00C71AF8">
            <w:pPr>
              <w:rPr>
                <w:rFonts w:ascii="Calibri" w:eastAsia="Times New Roman" w:hAnsi="Calibri" w:cs="Times New Roman"/>
                <w:color w:val="000000"/>
              </w:rPr>
            </w:pPr>
          </w:p>
        </w:tc>
        <w:tc>
          <w:tcPr>
            <w:tcW w:w="1284" w:type="dxa"/>
            <w:noWrap/>
            <w:hideMark/>
          </w:tcPr>
          <w:p w:rsidR="00C71AF8" w:rsidRPr="0042188C" w:rsidRDefault="00C71AF8" w:rsidP="00C71AF8">
            <w:pPr>
              <w:rPr>
                <w:rFonts w:ascii="Calibri" w:eastAsia="Times New Roman" w:hAnsi="Calibri" w:cs="Times New Roman"/>
                <w:color w:val="000000"/>
              </w:rPr>
            </w:pPr>
          </w:p>
        </w:tc>
        <w:tc>
          <w:tcPr>
            <w:tcW w:w="960" w:type="dxa"/>
            <w:noWrap/>
            <w:hideMark/>
          </w:tcPr>
          <w:p w:rsidR="00C71AF8" w:rsidRPr="0042188C" w:rsidRDefault="00C71AF8" w:rsidP="00C71AF8">
            <w:pPr>
              <w:rPr>
                <w:rFonts w:ascii="Calibri" w:eastAsia="Times New Roman" w:hAnsi="Calibri" w:cs="Times New Roman"/>
                <w:color w:val="000000"/>
              </w:rPr>
            </w:pPr>
          </w:p>
        </w:tc>
        <w:tc>
          <w:tcPr>
            <w:tcW w:w="960" w:type="dxa"/>
            <w:noWrap/>
            <w:hideMark/>
          </w:tcPr>
          <w:p w:rsidR="00C71AF8" w:rsidRPr="0042188C" w:rsidRDefault="00C71AF8" w:rsidP="00C71AF8">
            <w:pPr>
              <w:rPr>
                <w:rFonts w:ascii="Calibri" w:eastAsia="Times New Roman" w:hAnsi="Calibri" w:cs="Times New Roman"/>
                <w:color w:val="000000"/>
              </w:rPr>
            </w:pP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p>
        </w:tc>
        <w:tc>
          <w:tcPr>
            <w:tcW w:w="1271"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pos. control</w:t>
            </w:r>
          </w:p>
        </w:tc>
        <w:tc>
          <w:tcPr>
            <w:tcW w:w="1284"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neg. control</w:t>
            </w:r>
          </w:p>
        </w:tc>
        <w:tc>
          <w:tcPr>
            <w:tcW w:w="960"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50%</w:t>
            </w:r>
          </w:p>
        </w:tc>
        <w:tc>
          <w:tcPr>
            <w:tcW w:w="960"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100%</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pos. control</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0.18</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0.18</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0.18</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neg. control</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1</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1</w:t>
            </w:r>
          </w:p>
        </w:tc>
      </w:tr>
      <w:tr w:rsidR="00C71AF8" w:rsidRPr="0042188C" w:rsidTr="00C71AF8">
        <w:trPr>
          <w:trHeight w:val="300"/>
        </w:trPr>
        <w:tc>
          <w:tcPr>
            <w:tcW w:w="1285"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50%</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1</w:t>
            </w:r>
          </w:p>
        </w:tc>
      </w:tr>
      <w:tr w:rsidR="00C71AF8" w:rsidRPr="0042188C" w:rsidTr="00C71AF8">
        <w:trPr>
          <w:trHeight w:val="300"/>
        </w:trPr>
        <w:tc>
          <w:tcPr>
            <w:tcW w:w="1285"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100%</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u w:val="single"/>
              </w:rPr>
            </w:pPr>
            <w:r w:rsidRPr="0042188C">
              <w:rPr>
                <w:rFonts w:ascii="Calibri" w:eastAsia="Times New Roman" w:hAnsi="Calibri" w:cs="Times New Roman"/>
                <w:color w:val="000000"/>
                <w:u w:val="single"/>
              </w:rPr>
              <w:t>Day 2</w:t>
            </w:r>
          </w:p>
        </w:tc>
        <w:tc>
          <w:tcPr>
            <w:tcW w:w="1271" w:type="dxa"/>
            <w:noWrap/>
            <w:hideMark/>
          </w:tcPr>
          <w:p w:rsidR="00C71AF8" w:rsidRPr="0042188C" w:rsidRDefault="00C71AF8" w:rsidP="00C71AF8">
            <w:pPr>
              <w:rPr>
                <w:rFonts w:ascii="Calibri" w:eastAsia="Times New Roman" w:hAnsi="Calibri" w:cs="Times New Roman"/>
                <w:color w:val="000000"/>
              </w:rPr>
            </w:pPr>
          </w:p>
        </w:tc>
        <w:tc>
          <w:tcPr>
            <w:tcW w:w="1284" w:type="dxa"/>
            <w:noWrap/>
            <w:hideMark/>
          </w:tcPr>
          <w:p w:rsidR="00C71AF8" w:rsidRPr="0042188C" w:rsidRDefault="00C71AF8" w:rsidP="00C71AF8">
            <w:pPr>
              <w:rPr>
                <w:rFonts w:ascii="Calibri" w:eastAsia="Times New Roman" w:hAnsi="Calibri" w:cs="Times New Roman"/>
                <w:color w:val="000000"/>
              </w:rPr>
            </w:pPr>
          </w:p>
        </w:tc>
        <w:tc>
          <w:tcPr>
            <w:tcW w:w="960" w:type="dxa"/>
            <w:noWrap/>
            <w:hideMark/>
          </w:tcPr>
          <w:p w:rsidR="00C71AF8" w:rsidRPr="0042188C" w:rsidRDefault="00C71AF8" w:rsidP="00C71AF8">
            <w:pPr>
              <w:rPr>
                <w:rFonts w:ascii="Calibri" w:eastAsia="Times New Roman" w:hAnsi="Calibri" w:cs="Times New Roman"/>
                <w:color w:val="000000"/>
              </w:rPr>
            </w:pPr>
          </w:p>
        </w:tc>
        <w:tc>
          <w:tcPr>
            <w:tcW w:w="960" w:type="dxa"/>
            <w:noWrap/>
            <w:hideMark/>
          </w:tcPr>
          <w:p w:rsidR="00C71AF8" w:rsidRPr="0042188C" w:rsidRDefault="00C71AF8" w:rsidP="00C71AF8">
            <w:pPr>
              <w:rPr>
                <w:rFonts w:ascii="Calibri" w:eastAsia="Times New Roman" w:hAnsi="Calibri" w:cs="Times New Roman"/>
                <w:color w:val="000000"/>
              </w:rPr>
            </w:pP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p>
        </w:tc>
        <w:tc>
          <w:tcPr>
            <w:tcW w:w="1271"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pos. control</w:t>
            </w:r>
          </w:p>
        </w:tc>
        <w:tc>
          <w:tcPr>
            <w:tcW w:w="1284"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neg. control</w:t>
            </w:r>
          </w:p>
        </w:tc>
        <w:tc>
          <w:tcPr>
            <w:tcW w:w="960"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50%</w:t>
            </w:r>
          </w:p>
        </w:tc>
        <w:tc>
          <w:tcPr>
            <w:tcW w:w="960"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100%</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pos. control</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0.68</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0.07</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0.07</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neg. control</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0.37</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0.37</w:t>
            </w:r>
          </w:p>
        </w:tc>
      </w:tr>
      <w:tr w:rsidR="00C71AF8" w:rsidRPr="0042188C" w:rsidTr="00C71AF8">
        <w:trPr>
          <w:trHeight w:val="300"/>
        </w:trPr>
        <w:tc>
          <w:tcPr>
            <w:tcW w:w="1285"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50%</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1</w:t>
            </w:r>
          </w:p>
        </w:tc>
      </w:tr>
      <w:tr w:rsidR="00C71AF8" w:rsidRPr="0042188C" w:rsidTr="00C71AF8">
        <w:trPr>
          <w:trHeight w:val="300"/>
        </w:trPr>
        <w:tc>
          <w:tcPr>
            <w:tcW w:w="1285"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100%</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u w:val="single"/>
              </w:rPr>
            </w:pPr>
            <w:r w:rsidRPr="0042188C">
              <w:rPr>
                <w:rFonts w:ascii="Calibri" w:eastAsia="Times New Roman" w:hAnsi="Calibri" w:cs="Times New Roman"/>
                <w:color w:val="000000"/>
                <w:u w:val="single"/>
              </w:rPr>
              <w:t>Day 3</w:t>
            </w:r>
          </w:p>
        </w:tc>
        <w:tc>
          <w:tcPr>
            <w:tcW w:w="1271" w:type="dxa"/>
            <w:noWrap/>
            <w:hideMark/>
          </w:tcPr>
          <w:p w:rsidR="00C71AF8" w:rsidRPr="0042188C" w:rsidRDefault="00C71AF8" w:rsidP="00C71AF8">
            <w:pPr>
              <w:rPr>
                <w:rFonts w:ascii="Calibri" w:eastAsia="Times New Roman" w:hAnsi="Calibri" w:cs="Times New Roman"/>
                <w:color w:val="000000"/>
              </w:rPr>
            </w:pPr>
          </w:p>
        </w:tc>
        <w:tc>
          <w:tcPr>
            <w:tcW w:w="1284" w:type="dxa"/>
            <w:noWrap/>
            <w:hideMark/>
          </w:tcPr>
          <w:p w:rsidR="00C71AF8" w:rsidRPr="0042188C" w:rsidRDefault="00C71AF8" w:rsidP="00C71AF8">
            <w:pPr>
              <w:rPr>
                <w:rFonts w:ascii="Calibri" w:eastAsia="Times New Roman" w:hAnsi="Calibri" w:cs="Times New Roman"/>
                <w:color w:val="000000"/>
              </w:rPr>
            </w:pPr>
          </w:p>
        </w:tc>
        <w:tc>
          <w:tcPr>
            <w:tcW w:w="960" w:type="dxa"/>
            <w:noWrap/>
            <w:hideMark/>
          </w:tcPr>
          <w:p w:rsidR="00C71AF8" w:rsidRPr="0042188C" w:rsidRDefault="00C71AF8" w:rsidP="00C71AF8">
            <w:pPr>
              <w:rPr>
                <w:rFonts w:ascii="Calibri" w:eastAsia="Times New Roman" w:hAnsi="Calibri" w:cs="Times New Roman"/>
                <w:color w:val="000000"/>
              </w:rPr>
            </w:pPr>
          </w:p>
        </w:tc>
        <w:tc>
          <w:tcPr>
            <w:tcW w:w="960" w:type="dxa"/>
            <w:noWrap/>
            <w:hideMark/>
          </w:tcPr>
          <w:p w:rsidR="00C71AF8" w:rsidRPr="0042188C" w:rsidRDefault="00C71AF8" w:rsidP="00C71AF8">
            <w:pPr>
              <w:rPr>
                <w:rFonts w:ascii="Calibri" w:eastAsia="Times New Roman" w:hAnsi="Calibri" w:cs="Times New Roman"/>
                <w:color w:val="000000"/>
              </w:rPr>
            </w:pP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p>
        </w:tc>
        <w:tc>
          <w:tcPr>
            <w:tcW w:w="1271"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pos. control</w:t>
            </w:r>
          </w:p>
        </w:tc>
        <w:tc>
          <w:tcPr>
            <w:tcW w:w="1284"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neg. control</w:t>
            </w:r>
          </w:p>
        </w:tc>
        <w:tc>
          <w:tcPr>
            <w:tcW w:w="960"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50%</w:t>
            </w:r>
          </w:p>
        </w:tc>
        <w:tc>
          <w:tcPr>
            <w:tcW w:w="960"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100%</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pos. control</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0.02</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0.24</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0.07</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neg. control</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0.1</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0.18</w:t>
            </w:r>
          </w:p>
        </w:tc>
      </w:tr>
      <w:tr w:rsidR="00C71AF8" w:rsidRPr="0042188C" w:rsidTr="00C71AF8">
        <w:trPr>
          <w:trHeight w:val="300"/>
        </w:trPr>
        <w:tc>
          <w:tcPr>
            <w:tcW w:w="1285"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50%</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0.37</w:t>
            </w:r>
          </w:p>
        </w:tc>
      </w:tr>
      <w:tr w:rsidR="00C71AF8" w:rsidRPr="0042188C" w:rsidTr="00C71AF8">
        <w:trPr>
          <w:trHeight w:val="300"/>
        </w:trPr>
        <w:tc>
          <w:tcPr>
            <w:tcW w:w="1285"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100%</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u w:val="single"/>
              </w:rPr>
            </w:pPr>
            <w:r w:rsidRPr="0042188C">
              <w:rPr>
                <w:rFonts w:ascii="Calibri" w:eastAsia="Times New Roman" w:hAnsi="Calibri" w:cs="Times New Roman"/>
                <w:color w:val="000000"/>
                <w:u w:val="single"/>
              </w:rPr>
              <w:t>Day 4</w:t>
            </w:r>
          </w:p>
        </w:tc>
        <w:tc>
          <w:tcPr>
            <w:tcW w:w="1271" w:type="dxa"/>
            <w:noWrap/>
            <w:hideMark/>
          </w:tcPr>
          <w:p w:rsidR="00C71AF8" w:rsidRPr="0042188C" w:rsidRDefault="00C71AF8" w:rsidP="00C71AF8">
            <w:pPr>
              <w:rPr>
                <w:rFonts w:ascii="Calibri" w:eastAsia="Times New Roman" w:hAnsi="Calibri" w:cs="Times New Roman"/>
                <w:color w:val="000000"/>
              </w:rPr>
            </w:pPr>
          </w:p>
        </w:tc>
        <w:tc>
          <w:tcPr>
            <w:tcW w:w="1284" w:type="dxa"/>
            <w:noWrap/>
            <w:hideMark/>
          </w:tcPr>
          <w:p w:rsidR="00C71AF8" w:rsidRPr="0042188C" w:rsidRDefault="00C71AF8" w:rsidP="00C71AF8">
            <w:pPr>
              <w:rPr>
                <w:rFonts w:ascii="Calibri" w:eastAsia="Times New Roman" w:hAnsi="Calibri" w:cs="Times New Roman"/>
                <w:color w:val="000000"/>
              </w:rPr>
            </w:pPr>
          </w:p>
        </w:tc>
        <w:tc>
          <w:tcPr>
            <w:tcW w:w="960" w:type="dxa"/>
            <w:noWrap/>
            <w:hideMark/>
          </w:tcPr>
          <w:p w:rsidR="00C71AF8" w:rsidRPr="0042188C" w:rsidRDefault="00C71AF8" w:rsidP="00C71AF8">
            <w:pPr>
              <w:rPr>
                <w:rFonts w:ascii="Calibri" w:eastAsia="Times New Roman" w:hAnsi="Calibri" w:cs="Times New Roman"/>
                <w:color w:val="000000"/>
              </w:rPr>
            </w:pPr>
          </w:p>
        </w:tc>
        <w:tc>
          <w:tcPr>
            <w:tcW w:w="960" w:type="dxa"/>
            <w:noWrap/>
            <w:hideMark/>
          </w:tcPr>
          <w:p w:rsidR="00C71AF8" w:rsidRPr="0042188C" w:rsidRDefault="00C71AF8" w:rsidP="00C71AF8">
            <w:pPr>
              <w:rPr>
                <w:rFonts w:ascii="Calibri" w:eastAsia="Times New Roman" w:hAnsi="Calibri" w:cs="Times New Roman"/>
                <w:color w:val="000000"/>
              </w:rPr>
            </w:pP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p>
        </w:tc>
        <w:tc>
          <w:tcPr>
            <w:tcW w:w="1271"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pos. control</w:t>
            </w:r>
          </w:p>
        </w:tc>
        <w:tc>
          <w:tcPr>
            <w:tcW w:w="1284"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neg. control</w:t>
            </w:r>
          </w:p>
        </w:tc>
        <w:tc>
          <w:tcPr>
            <w:tcW w:w="960"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50%</w:t>
            </w:r>
          </w:p>
        </w:tc>
        <w:tc>
          <w:tcPr>
            <w:tcW w:w="960"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100%</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pos. control</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0.18</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0.24</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0.18</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neg. control</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highlight w:val="yellow"/>
              </w:rPr>
            </w:pPr>
            <w:r w:rsidRPr="0042188C">
              <w:rPr>
                <w:rFonts w:ascii="Calibri" w:eastAsia="Times New Roman" w:hAnsi="Calibri" w:cs="Times New Roman"/>
                <w:color w:val="000000"/>
                <w:highlight w:val="yellow"/>
              </w:rPr>
              <w:t>0.07</w:t>
            </w:r>
          </w:p>
        </w:tc>
        <w:tc>
          <w:tcPr>
            <w:tcW w:w="960" w:type="dxa"/>
            <w:noWrap/>
            <w:hideMark/>
          </w:tcPr>
          <w:p w:rsidR="00C71AF8" w:rsidRPr="0042188C" w:rsidRDefault="00C71AF8" w:rsidP="00C71AF8">
            <w:pPr>
              <w:jc w:val="center"/>
              <w:rPr>
                <w:rFonts w:ascii="Calibri" w:eastAsia="Times New Roman" w:hAnsi="Calibri" w:cs="Times New Roman"/>
                <w:color w:val="000000"/>
                <w:highlight w:val="yellow"/>
              </w:rPr>
            </w:pPr>
            <w:r w:rsidRPr="0042188C">
              <w:rPr>
                <w:rFonts w:ascii="Calibri" w:eastAsia="Times New Roman" w:hAnsi="Calibri" w:cs="Times New Roman"/>
                <w:color w:val="000000"/>
                <w:highlight w:val="yellow"/>
              </w:rPr>
              <w:t>0.18</w:t>
            </w:r>
          </w:p>
        </w:tc>
      </w:tr>
      <w:tr w:rsidR="00C71AF8" w:rsidRPr="0042188C" w:rsidTr="00C71AF8">
        <w:trPr>
          <w:trHeight w:val="300"/>
        </w:trPr>
        <w:tc>
          <w:tcPr>
            <w:tcW w:w="1285"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50%</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0.37</w:t>
            </w:r>
          </w:p>
        </w:tc>
      </w:tr>
      <w:tr w:rsidR="00C71AF8" w:rsidRPr="0042188C" w:rsidTr="00C71AF8">
        <w:trPr>
          <w:trHeight w:val="300"/>
        </w:trPr>
        <w:tc>
          <w:tcPr>
            <w:tcW w:w="1285"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lastRenderedPageBreak/>
              <w:t>100%</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u w:val="single"/>
              </w:rPr>
            </w:pPr>
            <w:r w:rsidRPr="0042188C">
              <w:rPr>
                <w:rFonts w:ascii="Calibri" w:eastAsia="Times New Roman" w:hAnsi="Calibri" w:cs="Times New Roman"/>
                <w:color w:val="000000"/>
                <w:u w:val="single"/>
              </w:rPr>
              <w:t xml:space="preserve">Day 5 </w:t>
            </w:r>
          </w:p>
        </w:tc>
        <w:tc>
          <w:tcPr>
            <w:tcW w:w="1271" w:type="dxa"/>
            <w:noWrap/>
            <w:hideMark/>
          </w:tcPr>
          <w:p w:rsidR="00C71AF8" w:rsidRPr="0042188C" w:rsidRDefault="00C71AF8" w:rsidP="00C71AF8">
            <w:pPr>
              <w:rPr>
                <w:rFonts w:ascii="Calibri" w:eastAsia="Times New Roman" w:hAnsi="Calibri" w:cs="Times New Roman"/>
                <w:color w:val="000000"/>
              </w:rPr>
            </w:pPr>
          </w:p>
        </w:tc>
        <w:tc>
          <w:tcPr>
            <w:tcW w:w="1284" w:type="dxa"/>
            <w:noWrap/>
            <w:hideMark/>
          </w:tcPr>
          <w:p w:rsidR="00C71AF8" w:rsidRPr="0042188C" w:rsidRDefault="00C71AF8" w:rsidP="00C71AF8">
            <w:pPr>
              <w:rPr>
                <w:rFonts w:ascii="Calibri" w:eastAsia="Times New Roman" w:hAnsi="Calibri" w:cs="Times New Roman"/>
                <w:color w:val="000000"/>
              </w:rPr>
            </w:pPr>
          </w:p>
        </w:tc>
        <w:tc>
          <w:tcPr>
            <w:tcW w:w="960" w:type="dxa"/>
            <w:noWrap/>
            <w:hideMark/>
          </w:tcPr>
          <w:p w:rsidR="00C71AF8" w:rsidRPr="0042188C" w:rsidRDefault="00C71AF8" w:rsidP="00C71AF8">
            <w:pPr>
              <w:rPr>
                <w:rFonts w:ascii="Calibri" w:eastAsia="Times New Roman" w:hAnsi="Calibri" w:cs="Times New Roman"/>
                <w:color w:val="000000"/>
              </w:rPr>
            </w:pPr>
          </w:p>
        </w:tc>
        <w:tc>
          <w:tcPr>
            <w:tcW w:w="960" w:type="dxa"/>
            <w:noWrap/>
            <w:hideMark/>
          </w:tcPr>
          <w:p w:rsidR="00C71AF8" w:rsidRPr="0042188C" w:rsidRDefault="00C71AF8" w:rsidP="00C71AF8">
            <w:pPr>
              <w:rPr>
                <w:rFonts w:ascii="Calibri" w:eastAsia="Times New Roman" w:hAnsi="Calibri" w:cs="Times New Roman"/>
                <w:color w:val="000000"/>
              </w:rPr>
            </w:pP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p>
        </w:tc>
        <w:tc>
          <w:tcPr>
            <w:tcW w:w="1271"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pos. control</w:t>
            </w:r>
          </w:p>
        </w:tc>
        <w:tc>
          <w:tcPr>
            <w:tcW w:w="1284"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neg. control</w:t>
            </w:r>
          </w:p>
        </w:tc>
        <w:tc>
          <w:tcPr>
            <w:tcW w:w="960"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50%</w:t>
            </w:r>
          </w:p>
        </w:tc>
        <w:tc>
          <w:tcPr>
            <w:tcW w:w="960"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100%</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pos. control</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0.18</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0.58</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0.18</w:t>
            </w:r>
          </w:p>
        </w:tc>
      </w:tr>
      <w:tr w:rsidR="00C71AF8" w:rsidRPr="0042188C" w:rsidTr="00C71AF8">
        <w:trPr>
          <w:trHeight w:val="300"/>
        </w:trPr>
        <w:tc>
          <w:tcPr>
            <w:tcW w:w="1285" w:type="dxa"/>
            <w:noWrap/>
            <w:hideMark/>
          </w:tcPr>
          <w:p w:rsidR="00C71AF8" w:rsidRPr="0042188C" w:rsidRDefault="00C71AF8" w:rsidP="00C71AF8">
            <w:pPr>
              <w:rPr>
                <w:rFonts w:ascii="Calibri" w:eastAsia="Times New Roman" w:hAnsi="Calibri" w:cs="Times New Roman"/>
                <w:color w:val="000000"/>
              </w:rPr>
            </w:pPr>
            <w:r w:rsidRPr="0042188C">
              <w:rPr>
                <w:rFonts w:ascii="Calibri" w:eastAsia="Times New Roman" w:hAnsi="Calibri" w:cs="Times New Roman"/>
                <w:color w:val="000000"/>
              </w:rPr>
              <w:t>neg. control</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0.07</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1</w:t>
            </w:r>
          </w:p>
        </w:tc>
      </w:tr>
      <w:tr w:rsidR="00C71AF8" w:rsidRPr="0042188C" w:rsidTr="00C71AF8">
        <w:trPr>
          <w:trHeight w:val="300"/>
        </w:trPr>
        <w:tc>
          <w:tcPr>
            <w:tcW w:w="1285"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50%</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highlight w:val="yellow"/>
              </w:rPr>
              <w:t>0.07</w:t>
            </w:r>
          </w:p>
        </w:tc>
      </w:tr>
      <w:tr w:rsidR="00C71AF8" w:rsidRPr="0042188C" w:rsidTr="00C71AF8">
        <w:trPr>
          <w:trHeight w:val="300"/>
        </w:trPr>
        <w:tc>
          <w:tcPr>
            <w:tcW w:w="1285" w:type="dxa"/>
            <w:noWrap/>
            <w:hideMark/>
          </w:tcPr>
          <w:p w:rsidR="00C71AF8" w:rsidRPr="0042188C" w:rsidRDefault="00C71AF8" w:rsidP="00C71AF8">
            <w:pPr>
              <w:jc w:val="right"/>
              <w:rPr>
                <w:rFonts w:ascii="Calibri" w:eastAsia="Times New Roman" w:hAnsi="Calibri" w:cs="Times New Roman"/>
                <w:color w:val="000000"/>
              </w:rPr>
            </w:pPr>
            <w:r w:rsidRPr="0042188C">
              <w:rPr>
                <w:rFonts w:ascii="Calibri" w:eastAsia="Times New Roman" w:hAnsi="Calibri" w:cs="Times New Roman"/>
                <w:color w:val="000000"/>
              </w:rPr>
              <w:t>100%</w:t>
            </w:r>
          </w:p>
        </w:tc>
        <w:tc>
          <w:tcPr>
            <w:tcW w:w="1271"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1284"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c>
          <w:tcPr>
            <w:tcW w:w="960" w:type="dxa"/>
            <w:noWrap/>
            <w:hideMark/>
          </w:tcPr>
          <w:p w:rsidR="00C71AF8" w:rsidRPr="0042188C" w:rsidRDefault="00C71AF8" w:rsidP="00C71AF8">
            <w:pPr>
              <w:jc w:val="center"/>
              <w:rPr>
                <w:rFonts w:ascii="Calibri" w:eastAsia="Times New Roman" w:hAnsi="Calibri" w:cs="Times New Roman"/>
                <w:color w:val="000000"/>
              </w:rPr>
            </w:pPr>
            <w:r w:rsidRPr="0042188C">
              <w:rPr>
                <w:rFonts w:ascii="Calibri" w:eastAsia="Times New Roman" w:hAnsi="Calibri" w:cs="Times New Roman"/>
                <w:color w:val="000000"/>
              </w:rPr>
              <w:t>_</w:t>
            </w:r>
          </w:p>
        </w:tc>
      </w:tr>
    </w:tbl>
    <w:p w:rsidR="00C71AF8" w:rsidRDefault="00C71AF8" w:rsidP="00C71AF8"/>
    <w:p w:rsidR="00C71AF8" w:rsidRPr="00C71AF8" w:rsidRDefault="00C71AF8" w:rsidP="00C71AF8">
      <w:pPr>
        <w:rPr>
          <w:rFonts w:ascii="Times New Roman" w:hAnsi="Times New Roman" w:cs="Times New Roman"/>
          <w:sz w:val="24"/>
          <w:szCs w:val="24"/>
        </w:rPr>
      </w:pPr>
      <w:r w:rsidRPr="00650F12">
        <w:rPr>
          <w:rFonts w:ascii="Times New Roman" w:hAnsi="Times New Roman" w:cs="Times New Roman"/>
          <w:sz w:val="24"/>
          <w:szCs w:val="24"/>
        </w:rPr>
        <w:t>Table 1 shows the t-tests between the nitrate levels (in parts per million, or ppm) of the different research sites. Highlighted are the p values that are low enough to represent significant changes between the different sites.</w:t>
      </w:r>
    </w:p>
    <w:tbl>
      <w:tblPr>
        <w:tblStyle w:val="TableGrid"/>
        <w:tblpPr w:leftFromText="180" w:rightFromText="180" w:vertAnchor="text" w:horzAnchor="margin" w:tblpY="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tblGrid>
      <w:tr w:rsidR="00C71AF8" w:rsidTr="00C71AF8">
        <w:trPr>
          <w:trHeight w:val="357"/>
        </w:trPr>
        <w:tc>
          <w:tcPr>
            <w:tcW w:w="5148" w:type="dxa"/>
          </w:tcPr>
          <w:p w:rsidR="00C71AF8" w:rsidRPr="00C71AF8" w:rsidRDefault="00C71AF8" w:rsidP="008F7D40">
            <w:pPr>
              <w:rPr>
                <w:rFonts w:ascii="Times New Roman" w:hAnsi="Times New Roman" w:cs="Times New Roman"/>
                <w:sz w:val="24"/>
                <w:szCs w:val="24"/>
                <w:u w:val="single"/>
              </w:rPr>
            </w:pPr>
            <w:r w:rsidRPr="00C71AF8">
              <w:rPr>
                <w:rFonts w:ascii="Times New Roman" w:hAnsi="Times New Roman" w:cs="Times New Roman"/>
                <w:sz w:val="24"/>
                <w:szCs w:val="24"/>
                <w:u w:val="single"/>
              </w:rPr>
              <w:t>Table 2</w:t>
            </w:r>
          </w:p>
        </w:tc>
      </w:tr>
    </w:tbl>
    <w:p w:rsidR="00C71AF8" w:rsidRDefault="00C71AF8" w:rsidP="00C71AF8"/>
    <w:tbl>
      <w:tblPr>
        <w:tblStyle w:val="TableGrid"/>
        <w:tblpPr w:leftFromText="180" w:rightFromText="180" w:vertAnchor="text" w:horzAnchor="margin" w:tblpY="20"/>
        <w:tblW w:w="5641" w:type="dxa"/>
        <w:tblLook w:val="04A0" w:firstRow="1" w:lastRow="0" w:firstColumn="1" w:lastColumn="0" w:noHBand="0" w:noVBand="1"/>
      </w:tblPr>
      <w:tblGrid>
        <w:gridCol w:w="1638"/>
        <w:gridCol w:w="1231"/>
        <w:gridCol w:w="1302"/>
        <w:gridCol w:w="960"/>
        <w:gridCol w:w="960"/>
      </w:tblGrid>
      <w:tr w:rsidR="00C71AF8" w:rsidRPr="0042188C" w:rsidTr="008F7D40">
        <w:trPr>
          <w:trHeight w:val="300"/>
        </w:trPr>
        <w:tc>
          <w:tcPr>
            <w:tcW w:w="3721" w:type="dxa"/>
            <w:gridSpan w:val="3"/>
            <w:noWrap/>
            <w:hideMark/>
          </w:tcPr>
          <w:p w:rsidR="00C71AF8" w:rsidRPr="0042188C" w:rsidRDefault="00C71AF8" w:rsidP="008F7D40">
            <w:pPr>
              <w:rPr>
                <w:rFonts w:ascii="Calibri" w:eastAsia="Times New Roman" w:hAnsi="Calibri" w:cs="Times New Roman"/>
                <w:color w:val="000000"/>
              </w:rPr>
            </w:pPr>
            <w:r w:rsidRPr="0042188C">
              <w:rPr>
                <w:rFonts w:ascii="Calibri" w:eastAsia="Times New Roman" w:hAnsi="Calibri" w:cs="Times New Roman"/>
                <w:color w:val="000000"/>
              </w:rPr>
              <w:t>P Values Between Days</w:t>
            </w:r>
          </w:p>
        </w:tc>
        <w:tc>
          <w:tcPr>
            <w:tcW w:w="960" w:type="dxa"/>
            <w:noWrap/>
            <w:hideMark/>
          </w:tcPr>
          <w:p w:rsidR="00C71AF8" w:rsidRPr="0042188C" w:rsidRDefault="00C71AF8" w:rsidP="008F7D40">
            <w:pPr>
              <w:rPr>
                <w:rFonts w:ascii="Calibri" w:eastAsia="Times New Roman" w:hAnsi="Calibri" w:cs="Times New Roman"/>
                <w:color w:val="000000"/>
              </w:rPr>
            </w:pPr>
          </w:p>
        </w:tc>
        <w:tc>
          <w:tcPr>
            <w:tcW w:w="960" w:type="dxa"/>
            <w:noWrap/>
            <w:hideMark/>
          </w:tcPr>
          <w:p w:rsidR="00C71AF8" w:rsidRPr="0042188C" w:rsidRDefault="00C71AF8" w:rsidP="008F7D40">
            <w:pPr>
              <w:rPr>
                <w:rFonts w:ascii="Calibri" w:eastAsia="Times New Roman" w:hAnsi="Calibri" w:cs="Times New Roman"/>
                <w:color w:val="000000"/>
              </w:rPr>
            </w:pPr>
          </w:p>
        </w:tc>
      </w:tr>
      <w:tr w:rsidR="00C71AF8" w:rsidRPr="0042188C" w:rsidTr="008F7D40">
        <w:trPr>
          <w:trHeight w:val="300"/>
        </w:trPr>
        <w:tc>
          <w:tcPr>
            <w:tcW w:w="1638" w:type="dxa"/>
            <w:noWrap/>
            <w:hideMark/>
          </w:tcPr>
          <w:p w:rsidR="00C71AF8" w:rsidRPr="0042188C" w:rsidRDefault="00C71AF8" w:rsidP="008F7D40">
            <w:pPr>
              <w:rPr>
                <w:rFonts w:ascii="Calibri" w:eastAsia="Times New Roman" w:hAnsi="Calibri" w:cs="Times New Roman"/>
                <w:color w:val="000000"/>
              </w:rPr>
            </w:pPr>
          </w:p>
        </w:tc>
        <w:tc>
          <w:tcPr>
            <w:tcW w:w="781" w:type="dxa"/>
            <w:noWrap/>
            <w:hideMark/>
          </w:tcPr>
          <w:p w:rsidR="00C71AF8" w:rsidRPr="0042188C" w:rsidRDefault="00C71AF8" w:rsidP="008F7D40">
            <w:pPr>
              <w:rPr>
                <w:rFonts w:ascii="Calibri" w:eastAsia="Times New Roman" w:hAnsi="Calibri" w:cs="Times New Roman"/>
                <w:color w:val="000000"/>
              </w:rPr>
            </w:pPr>
            <w:r w:rsidRPr="0042188C">
              <w:rPr>
                <w:rFonts w:ascii="Calibri" w:eastAsia="Times New Roman" w:hAnsi="Calibri" w:cs="Times New Roman"/>
                <w:color w:val="000000"/>
              </w:rPr>
              <w:t>pos.control</w:t>
            </w:r>
          </w:p>
        </w:tc>
        <w:tc>
          <w:tcPr>
            <w:tcW w:w="1302" w:type="dxa"/>
            <w:noWrap/>
            <w:hideMark/>
          </w:tcPr>
          <w:p w:rsidR="00C71AF8" w:rsidRPr="0042188C" w:rsidRDefault="00C71AF8" w:rsidP="008F7D40">
            <w:pPr>
              <w:rPr>
                <w:rFonts w:ascii="Calibri" w:eastAsia="Times New Roman" w:hAnsi="Calibri" w:cs="Times New Roman"/>
                <w:color w:val="000000"/>
              </w:rPr>
            </w:pPr>
            <w:r w:rsidRPr="0042188C">
              <w:rPr>
                <w:rFonts w:ascii="Calibri" w:eastAsia="Times New Roman" w:hAnsi="Calibri" w:cs="Times New Roman"/>
                <w:color w:val="000000"/>
              </w:rPr>
              <w:t>neg.control</w:t>
            </w:r>
          </w:p>
        </w:tc>
        <w:tc>
          <w:tcPr>
            <w:tcW w:w="960"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50%</w:t>
            </w:r>
          </w:p>
        </w:tc>
        <w:tc>
          <w:tcPr>
            <w:tcW w:w="960"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100%</w:t>
            </w:r>
          </w:p>
        </w:tc>
      </w:tr>
      <w:tr w:rsidR="00C71AF8" w:rsidRPr="0042188C" w:rsidTr="008F7D40">
        <w:trPr>
          <w:trHeight w:val="300"/>
        </w:trPr>
        <w:tc>
          <w:tcPr>
            <w:tcW w:w="1638" w:type="dxa"/>
            <w:noWrap/>
            <w:hideMark/>
          </w:tcPr>
          <w:p w:rsidR="00C71AF8" w:rsidRPr="0042188C" w:rsidRDefault="00C71AF8" w:rsidP="008F7D40">
            <w:pPr>
              <w:rPr>
                <w:rFonts w:ascii="Calibri" w:eastAsia="Times New Roman" w:hAnsi="Calibri" w:cs="Times New Roman"/>
                <w:color w:val="000000"/>
              </w:rPr>
            </w:pPr>
            <w:r>
              <w:rPr>
                <w:rFonts w:ascii="Calibri" w:eastAsia="Times New Roman" w:hAnsi="Calibri" w:cs="Times New Roman"/>
                <w:color w:val="000000"/>
              </w:rPr>
              <w:t xml:space="preserve">  Day 1 – Day </w:t>
            </w:r>
            <w:r w:rsidRPr="0042188C">
              <w:rPr>
                <w:rFonts w:ascii="Calibri" w:eastAsia="Times New Roman" w:hAnsi="Calibri" w:cs="Times New Roman"/>
                <w:color w:val="000000"/>
              </w:rPr>
              <w:t>2</w:t>
            </w:r>
          </w:p>
        </w:tc>
        <w:tc>
          <w:tcPr>
            <w:tcW w:w="781"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0.73</w:t>
            </w:r>
          </w:p>
        </w:tc>
        <w:tc>
          <w:tcPr>
            <w:tcW w:w="1302"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0.37</w:t>
            </w:r>
          </w:p>
        </w:tc>
        <w:tc>
          <w:tcPr>
            <w:tcW w:w="960"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1</w:t>
            </w:r>
          </w:p>
        </w:tc>
        <w:tc>
          <w:tcPr>
            <w:tcW w:w="960"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1</w:t>
            </w:r>
          </w:p>
        </w:tc>
      </w:tr>
      <w:tr w:rsidR="00C71AF8" w:rsidRPr="0042188C" w:rsidTr="008F7D40">
        <w:trPr>
          <w:trHeight w:val="300"/>
        </w:trPr>
        <w:tc>
          <w:tcPr>
            <w:tcW w:w="1638" w:type="dxa"/>
            <w:noWrap/>
            <w:hideMark/>
          </w:tcPr>
          <w:p w:rsidR="00C71AF8" w:rsidRPr="0042188C" w:rsidRDefault="00C71AF8" w:rsidP="008F7D40">
            <w:pPr>
              <w:rPr>
                <w:rFonts w:ascii="Calibri" w:eastAsia="Times New Roman" w:hAnsi="Calibri" w:cs="Times New Roman"/>
                <w:color w:val="000000"/>
              </w:rPr>
            </w:pPr>
            <w:r>
              <w:rPr>
                <w:rFonts w:ascii="Calibri" w:eastAsia="Times New Roman" w:hAnsi="Calibri" w:cs="Times New Roman"/>
                <w:color w:val="000000"/>
              </w:rPr>
              <w:t xml:space="preserve"> Day 2 - Day </w:t>
            </w:r>
            <w:r w:rsidRPr="0042188C">
              <w:rPr>
                <w:rFonts w:ascii="Calibri" w:eastAsia="Times New Roman" w:hAnsi="Calibri" w:cs="Times New Roman"/>
                <w:color w:val="000000"/>
              </w:rPr>
              <w:t>3</w:t>
            </w:r>
          </w:p>
        </w:tc>
        <w:tc>
          <w:tcPr>
            <w:tcW w:w="781"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1</w:t>
            </w:r>
          </w:p>
        </w:tc>
        <w:tc>
          <w:tcPr>
            <w:tcW w:w="1302"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0.13</w:t>
            </w:r>
          </w:p>
        </w:tc>
        <w:tc>
          <w:tcPr>
            <w:tcW w:w="960"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0.37</w:t>
            </w:r>
          </w:p>
        </w:tc>
        <w:tc>
          <w:tcPr>
            <w:tcW w:w="960"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1</w:t>
            </w:r>
          </w:p>
        </w:tc>
      </w:tr>
      <w:tr w:rsidR="00C71AF8" w:rsidRPr="0042188C" w:rsidTr="008F7D40">
        <w:trPr>
          <w:trHeight w:val="300"/>
        </w:trPr>
        <w:tc>
          <w:tcPr>
            <w:tcW w:w="1638" w:type="dxa"/>
            <w:noWrap/>
            <w:hideMark/>
          </w:tcPr>
          <w:p w:rsidR="00C71AF8" w:rsidRPr="0042188C" w:rsidRDefault="00C71AF8" w:rsidP="008F7D40">
            <w:pPr>
              <w:rPr>
                <w:rFonts w:ascii="Calibri" w:eastAsia="Times New Roman" w:hAnsi="Calibri" w:cs="Times New Roman"/>
                <w:color w:val="000000"/>
              </w:rPr>
            </w:pPr>
            <w:r>
              <w:rPr>
                <w:rFonts w:ascii="Calibri" w:eastAsia="Times New Roman" w:hAnsi="Calibri" w:cs="Times New Roman"/>
                <w:color w:val="000000"/>
              </w:rPr>
              <w:t>Day 3 - Day</w:t>
            </w:r>
            <w:r w:rsidRPr="0042188C">
              <w:rPr>
                <w:rFonts w:ascii="Calibri" w:eastAsia="Times New Roman" w:hAnsi="Calibri" w:cs="Times New Roman"/>
                <w:color w:val="000000"/>
              </w:rPr>
              <w:t xml:space="preserve"> 4</w:t>
            </w:r>
          </w:p>
        </w:tc>
        <w:tc>
          <w:tcPr>
            <w:tcW w:w="781"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0.59</w:t>
            </w:r>
          </w:p>
        </w:tc>
        <w:tc>
          <w:tcPr>
            <w:tcW w:w="1302"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0.18</w:t>
            </w:r>
          </w:p>
        </w:tc>
        <w:tc>
          <w:tcPr>
            <w:tcW w:w="960"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0.24</w:t>
            </w:r>
          </w:p>
        </w:tc>
        <w:tc>
          <w:tcPr>
            <w:tcW w:w="960"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1</w:t>
            </w:r>
          </w:p>
        </w:tc>
      </w:tr>
      <w:tr w:rsidR="00C71AF8" w:rsidRPr="0042188C" w:rsidTr="008F7D40">
        <w:trPr>
          <w:trHeight w:val="300"/>
        </w:trPr>
        <w:tc>
          <w:tcPr>
            <w:tcW w:w="1638" w:type="dxa"/>
            <w:noWrap/>
            <w:hideMark/>
          </w:tcPr>
          <w:p w:rsidR="00C71AF8" w:rsidRPr="0042188C" w:rsidRDefault="00C71AF8" w:rsidP="008F7D40">
            <w:pPr>
              <w:rPr>
                <w:rFonts w:ascii="Calibri" w:eastAsia="Times New Roman" w:hAnsi="Calibri" w:cs="Times New Roman"/>
                <w:color w:val="000000"/>
              </w:rPr>
            </w:pPr>
            <w:r>
              <w:rPr>
                <w:rFonts w:ascii="Calibri" w:eastAsia="Times New Roman" w:hAnsi="Calibri" w:cs="Times New Roman"/>
                <w:color w:val="000000"/>
              </w:rPr>
              <w:t xml:space="preserve"> Day 4 - Day </w:t>
            </w:r>
            <w:r w:rsidRPr="0042188C">
              <w:rPr>
                <w:rFonts w:ascii="Calibri" w:eastAsia="Times New Roman" w:hAnsi="Calibri" w:cs="Times New Roman"/>
                <w:color w:val="000000"/>
              </w:rPr>
              <w:t>5</w:t>
            </w:r>
          </w:p>
        </w:tc>
        <w:tc>
          <w:tcPr>
            <w:tcW w:w="781"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1</w:t>
            </w:r>
          </w:p>
        </w:tc>
        <w:tc>
          <w:tcPr>
            <w:tcW w:w="1302"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1</w:t>
            </w:r>
          </w:p>
        </w:tc>
        <w:tc>
          <w:tcPr>
            <w:tcW w:w="960"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1</w:t>
            </w:r>
          </w:p>
        </w:tc>
        <w:tc>
          <w:tcPr>
            <w:tcW w:w="960" w:type="dxa"/>
            <w:noWrap/>
            <w:hideMark/>
          </w:tcPr>
          <w:p w:rsidR="00C71AF8" w:rsidRPr="0042188C" w:rsidRDefault="00C71AF8" w:rsidP="008F7D40">
            <w:pPr>
              <w:jc w:val="right"/>
              <w:rPr>
                <w:rFonts w:ascii="Calibri" w:eastAsia="Times New Roman" w:hAnsi="Calibri" w:cs="Times New Roman"/>
                <w:color w:val="000000"/>
              </w:rPr>
            </w:pPr>
            <w:r w:rsidRPr="0042188C">
              <w:rPr>
                <w:rFonts w:ascii="Calibri" w:eastAsia="Times New Roman" w:hAnsi="Calibri" w:cs="Times New Roman"/>
                <w:color w:val="000000"/>
              </w:rPr>
              <w:t>1</w:t>
            </w:r>
          </w:p>
        </w:tc>
      </w:tr>
    </w:tbl>
    <w:p w:rsidR="00C71AF8" w:rsidRPr="00650F12" w:rsidRDefault="00C71AF8" w:rsidP="00C71AF8">
      <w:pPr>
        <w:rPr>
          <w:rFonts w:ascii="Times New Roman" w:hAnsi="Times New Roman" w:cs="Times New Roman"/>
          <w:sz w:val="24"/>
          <w:szCs w:val="24"/>
        </w:rPr>
      </w:pPr>
      <w:r w:rsidRPr="00650F12">
        <w:rPr>
          <w:rFonts w:ascii="Times New Roman" w:hAnsi="Times New Roman" w:cs="Times New Roman"/>
          <w:sz w:val="24"/>
          <w:szCs w:val="24"/>
        </w:rPr>
        <w:t xml:space="preserve">Table 2 shows the results of t-testing on the nitrate data over a five day span. </w:t>
      </w:r>
    </w:p>
    <w:p w:rsidR="00C71AF8" w:rsidRDefault="00C71AF8" w:rsidP="00C71AF8"/>
    <w:p w:rsidR="00C71AF8" w:rsidRPr="00C71AF8" w:rsidRDefault="00C71AF8" w:rsidP="00C71AF8">
      <w:pPr>
        <w:spacing w:line="240" w:lineRule="auto"/>
        <w:rPr>
          <w:rFonts w:ascii="Times New Roman" w:hAnsi="Times New Roman" w:cs="Times New Roman"/>
        </w:rPr>
      </w:pPr>
    </w:p>
    <w:p w:rsidR="00A70CF9" w:rsidRPr="00C71AF8" w:rsidRDefault="00A70CF9" w:rsidP="00A70CF9">
      <w:pPr>
        <w:rPr>
          <w:rFonts w:ascii="Times New Roman" w:hAnsi="Times New Roman" w:cs="Times New Roman"/>
          <w:u w:val="single"/>
        </w:rPr>
      </w:pPr>
      <w:r w:rsidRPr="00C71AF8">
        <w:rPr>
          <w:rFonts w:ascii="Times New Roman" w:hAnsi="Times New Roman" w:cs="Times New Roman"/>
          <w:u w:val="single"/>
        </w:rPr>
        <w:t>Graph 1</w:t>
      </w:r>
    </w:p>
    <w:p w:rsidR="00A70CF9" w:rsidRPr="00C71AF8" w:rsidRDefault="00A70CF9" w:rsidP="00A70CF9">
      <w:pPr>
        <w:rPr>
          <w:rFonts w:ascii="Times New Roman" w:hAnsi="Times New Roman" w:cs="Times New Roman"/>
          <w:b/>
          <w:sz w:val="28"/>
          <w:u w:val="single"/>
        </w:rPr>
      </w:pPr>
      <w:r w:rsidRPr="00C71AF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59A3B4B" wp14:editId="78E16D35">
                <wp:simplePos x="0" y="0"/>
                <wp:positionH relativeFrom="column">
                  <wp:posOffset>1544955</wp:posOffset>
                </wp:positionH>
                <wp:positionV relativeFrom="paragraph">
                  <wp:posOffset>178435</wp:posOffset>
                </wp:positionV>
                <wp:extent cx="2374265" cy="32385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solidFill>
                          <a:srgbClr val="FFFFFF"/>
                        </a:solidFill>
                        <a:ln w="9525">
                          <a:solidFill>
                            <a:schemeClr val="bg1"/>
                          </a:solidFill>
                          <a:miter lim="800000"/>
                          <a:headEnd/>
                          <a:tailEnd/>
                        </a:ln>
                      </wps:spPr>
                      <wps:txbx>
                        <w:txbxContent>
                          <w:p w:rsidR="00A70CF9" w:rsidRPr="00C14C37" w:rsidRDefault="00A70CF9" w:rsidP="00A70CF9">
                            <w:pPr>
                              <w:jc w:val="center"/>
                              <w:rPr>
                                <w:b/>
                                <w:sz w:val="28"/>
                                <w:u w:val="single"/>
                              </w:rPr>
                            </w:pPr>
                            <w:r>
                              <w:rPr>
                                <w:b/>
                                <w:sz w:val="28"/>
                                <w:u w:val="single"/>
                              </w:rPr>
                              <w:t>Total Nitrate Levels</w:t>
                            </w:r>
                          </w:p>
                          <w:p w:rsidR="00A70CF9" w:rsidRDefault="00A70CF9" w:rsidP="00A70CF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9A3B4B" id="_x0000_t202" coordsize="21600,21600" o:spt="202" path="m,l,21600r21600,l21600,xe">
                <v:stroke joinstyle="miter"/>
                <v:path gradientshapeok="t" o:connecttype="rect"/>
              </v:shapetype>
              <v:shape id="Text Box 2" o:spid="_x0000_s1026" type="#_x0000_t202" style="position:absolute;margin-left:121.65pt;margin-top:14.05pt;width:186.95pt;height:2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" strokecolor="white [3212]">
                <v:textbox>
                  <w:txbxContent>
                    <w:p w:rsidR="00A70CF9" w:rsidRPr="00C14C37" w:rsidRDefault="00A70CF9" w:rsidP="00A70CF9">
                      <w:pPr>
                        <w:jc w:val="center"/>
                        <w:rPr>
                          <w:b/>
                          <w:sz w:val="28"/>
                          <w:u w:val="single"/>
                        </w:rPr>
                      </w:pPr>
                      <w:r>
                        <w:rPr>
                          <w:b/>
                          <w:sz w:val="28"/>
                          <w:u w:val="single"/>
                        </w:rPr>
                        <w:t>Total Nitrate Levels</w:t>
                      </w:r>
                    </w:p>
                    <w:p w:rsidR="00A70CF9" w:rsidRDefault="00A70CF9" w:rsidP="00A70CF9"/>
                  </w:txbxContent>
                </v:textbox>
              </v:shape>
            </w:pict>
          </mc:Fallback>
        </mc:AlternateContent>
      </w:r>
      <w:r w:rsidRPr="00C71AF8">
        <w:rPr>
          <w:rFonts w:ascii="Times New Roman" w:hAnsi="Times New Roman" w:cs="Times New Roman"/>
          <w:noProof/>
        </w:rPr>
        <w:drawing>
          <wp:inline distT="0" distB="0" distL="0" distR="0" wp14:anchorId="0847499F" wp14:editId="31E014B5">
            <wp:extent cx="5907819" cy="3204376"/>
            <wp:effectExtent l="0" t="0" r="1714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0CF9" w:rsidRPr="00C71AF8" w:rsidRDefault="00A70CF9" w:rsidP="00A70CF9">
      <w:pPr>
        <w:rPr>
          <w:rFonts w:ascii="Times New Roman" w:hAnsi="Times New Roman" w:cs="Times New Roman"/>
          <w:sz w:val="24"/>
          <w:szCs w:val="24"/>
        </w:rPr>
      </w:pPr>
      <w:r w:rsidRPr="00C71AF8">
        <w:rPr>
          <w:rFonts w:ascii="Times New Roman" w:hAnsi="Times New Roman" w:cs="Times New Roman"/>
          <w:sz w:val="24"/>
          <w:szCs w:val="24"/>
        </w:rPr>
        <w:t>Graph 1 shows the changes in soil nitrate levels for the research sites over the course of five days</w:t>
      </w:r>
    </w:p>
    <w:p w:rsidR="00A70CF9" w:rsidRPr="00C71AF8" w:rsidRDefault="00BE75D7" w:rsidP="00A70CF9">
      <w:pPr>
        <w:spacing w:line="240" w:lineRule="auto"/>
        <w:rPr>
          <w:rFonts w:ascii="Times New Roman" w:hAnsi="Times New Roman" w:cs="Times New Roman"/>
          <w:sz w:val="24"/>
          <w:szCs w:val="24"/>
        </w:rPr>
      </w:pPr>
      <w:r w:rsidRPr="00C71AF8">
        <w:rPr>
          <w:rFonts w:ascii="Times New Roman" w:hAnsi="Times New Roman" w:cs="Times New Roman"/>
          <w:sz w:val="24"/>
          <w:szCs w:val="24"/>
        </w:rPr>
        <w:t>Discussion</w:t>
      </w:r>
    </w:p>
    <w:p w:rsidR="00BE75D7" w:rsidRPr="00C71AF8" w:rsidRDefault="00BE75D7" w:rsidP="00BE75D7">
      <w:pPr>
        <w:spacing w:after="0" w:line="240" w:lineRule="auto"/>
        <w:rPr>
          <w:rFonts w:ascii="Times New Roman" w:hAnsi="Times New Roman" w:cs="Times New Roman"/>
          <w:sz w:val="24"/>
          <w:szCs w:val="24"/>
        </w:rPr>
      </w:pPr>
      <w:r w:rsidRPr="00C71AF8">
        <w:rPr>
          <w:rFonts w:ascii="Times New Roman" w:hAnsi="Times New Roman" w:cs="Times New Roman"/>
          <w:sz w:val="24"/>
          <w:szCs w:val="24"/>
        </w:rPr>
        <w:t xml:space="preserve">Statistical comparison of the positive control plot’s data with that of the remaining experimental plots reveals that nitrate levels observed in our different research plots were significantly </w:t>
      </w:r>
      <w:r w:rsidRPr="00C71AF8">
        <w:rPr>
          <w:rFonts w:ascii="Times New Roman" w:hAnsi="Times New Roman" w:cs="Times New Roman"/>
          <w:sz w:val="24"/>
          <w:szCs w:val="24"/>
        </w:rPr>
        <w:lastRenderedPageBreak/>
        <w:t xml:space="preserve">different between the 4 plots (p=0.02 to 0.37; see Table 1). Hence, we can be confident that the pattern in Table 1 is representative of what is happening to the nitrate cycle in Site 4. As Graph 1 shows, the positive control plot shows minimal fluctuation in the nitrate levels in its soil from one day to the next (p=0.59 to 0.73) which one would expect of a location where there is 0 plant life present to absorb it. Likewise, Graph 1 shows that within the negative control plot there is a significant amount of fluctuation in the nitrate levels from one day to the next (p=0.13 to 0.37), which one would also expect of a location  with normal plant-soil interactions. Similarly, the 50% white grass showed the expected plant-soil interactions from one day to the next (p=0.24 to 0.37; see Table 1). However, as both Graph 1 and Table 1 indicate, the 100% white grass plot, like the positive control plot, shows no statistically significant fluctuation in nitrate levels, indicating that something is severely disrupting the normal plant-soil interactions. </w:t>
      </w:r>
    </w:p>
    <w:p w:rsidR="00BE75D7" w:rsidRPr="00C71AF8" w:rsidRDefault="00BE75D7" w:rsidP="00BE75D7">
      <w:pPr>
        <w:spacing w:after="0" w:line="240" w:lineRule="auto"/>
        <w:ind w:firstLine="720"/>
        <w:rPr>
          <w:rFonts w:ascii="Times New Roman" w:hAnsi="Times New Roman" w:cs="Times New Roman"/>
          <w:sz w:val="24"/>
          <w:szCs w:val="24"/>
        </w:rPr>
      </w:pPr>
      <w:r w:rsidRPr="00C71AF8">
        <w:rPr>
          <w:rFonts w:ascii="Times New Roman" w:hAnsi="Times New Roman" w:cs="Times New Roman"/>
          <w:sz w:val="24"/>
          <w:szCs w:val="24"/>
        </w:rPr>
        <w:t>The most likely source of this disruption is the location of the positive control and 100% white grass plots near the water flows through Site 4. Data collected for the first time this year in the 2014 E.S.S.R.E program is able to confirm the movement of water through the soil column proposed by Luria, Shay, and Kuser (2014) as the potential source of leeching that they argued is removing the nitrate from Site 4. Picture 1 shows a side view of the soil under the positive control and 100% white grass plots that</w:t>
      </w:r>
    </w:p>
    <w:p w:rsidR="00BE75D7" w:rsidRPr="00C71AF8" w:rsidRDefault="00BE75D7" w:rsidP="00BE75D7">
      <w:pPr>
        <w:spacing w:after="0" w:line="240" w:lineRule="auto"/>
        <w:ind w:firstLine="720"/>
        <w:rPr>
          <w:rFonts w:ascii="Times New Roman" w:hAnsi="Times New Roman" w:cs="Times New Roman"/>
          <w:sz w:val="24"/>
          <w:szCs w:val="24"/>
        </w:rPr>
      </w:pPr>
    </w:p>
    <w:p w:rsidR="00BE75D7" w:rsidRPr="00C71AF8" w:rsidRDefault="00BE75D7" w:rsidP="00BE75D7">
      <w:pPr>
        <w:spacing w:line="240" w:lineRule="auto"/>
        <w:rPr>
          <w:rFonts w:ascii="Times New Roman" w:hAnsi="Times New Roman" w:cs="Times New Roman"/>
          <w:sz w:val="24"/>
          <w:szCs w:val="24"/>
        </w:rPr>
      </w:pPr>
      <w:r w:rsidRPr="00C71AF8">
        <w:rPr>
          <w:rFonts w:ascii="Times New Roman" w:hAnsi="Times New Roman" w:cs="Times New Roman"/>
          <w:sz w:val="24"/>
          <w:szCs w:val="24"/>
        </w:rPr>
        <w:t>Picture 1</w:t>
      </w:r>
    </w:p>
    <w:p w:rsidR="00BE75D7" w:rsidRPr="00C71AF8" w:rsidRDefault="00BE75D7" w:rsidP="00BE75D7">
      <w:pPr>
        <w:spacing w:line="240" w:lineRule="auto"/>
        <w:rPr>
          <w:rFonts w:ascii="Times New Roman" w:hAnsi="Times New Roman" w:cs="Times New Roman"/>
          <w:sz w:val="24"/>
          <w:szCs w:val="24"/>
        </w:rPr>
      </w:pPr>
      <w:r w:rsidRPr="00C71AF8">
        <w:rPr>
          <w:rFonts w:ascii="Times New Roman" w:hAnsi="Times New Roman" w:cs="Times New Roman"/>
          <w:sz w:val="24"/>
          <w:szCs w:val="24"/>
        </w:rPr>
        <w:t xml:space="preserve">  </w:t>
      </w:r>
      <w:r w:rsidRPr="00C71AF8">
        <w:rPr>
          <w:rFonts w:ascii="Times New Roman" w:hAnsi="Times New Roman" w:cs="Times New Roman"/>
          <w:noProof/>
          <w:sz w:val="24"/>
          <w:szCs w:val="24"/>
        </w:rPr>
        <w:drawing>
          <wp:inline distT="0" distB="0" distL="0" distR="0" wp14:anchorId="1B4708B9" wp14:editId="0F265775">
            <wp:extent cx="2354201" cy="1765189"/>
            <wp:effectExtent l="0" t="0" r="8255" b="6985"/>
            <wp:docPr id="1" name="Picture 1" descr="C:\Users\garberj\AppData\Local\Microsoft\Windows\Temporary Internet Files\Content.Outlook\OB61NCK5\IMG_2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berj\AppData\Local\Microsoft\Windows\Temporary Internet Files\Content.Outlook\OB61NCK5\IMG_28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7017" cy="1767300"/>
                    </a:xfrm>
                    <a:prstGeom prst="rect">
                      <a:avLst/>
                    </a:prstGeom>
                    <a:noFill/>
                    <a:ln>
                      <a:noFill/>
                    </a:ln>
                  </pic:spPr>
                </pic:pic>
              </a:graphicData>
            </a:graphic>
          </wp:inline>
        </w:drawing>
      </w:r>
    </w:p>
    <w:p w:rsidR="00BE75D7" w:rsidRPr="00C71AF8" w:rsidRDefault="00BE75D7" w:rsidP="00BE75D7">
      <w:pPr>
        <w:spacing w:line="240" w:lineRule="auto"/>
        <w:rPr>
          <w:rFonts w:ascii="Times New Roman" w:hAnsi="Times New Roman" w:cs="Times New Roman"/>
          <w:sz w:val="24"/>
          <w:szCs w:val="24"/>
        </w:rPr>
      </w:pPr>
      <w:r w:rsidRPr="00C71AF8">
        <w:rPr>
          <w:rFonts w:ascii="Times New Roman" w:hAnsi="Times New Roman" w:cs="Times New Roman"/>
          <w:sz w:val="24"/>
          <w:szCs w:val="24"/>
        </w:rPr>
        <w:t>has been exposed since the 2013 E.S.S.R.E. program, and as the color of the subsoil clearly indicates, water is penetrating at least 2 meters or more beneath the surface of Site 4 at this location. Soil of this color is only observed when manganese in the soil and water interact, oxidizing the manganese to produce the black tint (Oram 2014) observed in the soil of both the positive control and 100% white grass plots. Hence it is clear that water is moving actively through the part of Site 4 where these plots are located, precisely the explanation proposed and supported by Luria, Shay and Kuser (2014): that active leeching is happening and explains why there is such low nitrate in this site. Therefore we are confident that the long term steady decline in E.S.S.R.E. Site 4 (see Figure 1) is due to leeching as the dam bordering Site 4 has steadily eroded in the same time period.</w:t>
      </w:r>
    </w:p>
    <w:p w:rsidR="00BE75D7" w:rsidRPr="00C71AF8" w:rsidRDefault="00BE75D7" w:rsidP="00A70CF9">
      <w:pPr>
        <w:spacing w:line="240" w:lineRule="auto"/>
        <w:rPr>
          <w:rFonts w:ascii="Times New Roman" w:hAnsi="Times New Roman" w:cs="Times New Roman"/>
          <w:sz w:val="24"/>
          <w:szCs w:val="24"/>
        </w:rPr>
      </w:pPr>
    </w:p>
    <w:p w:rsidR="00BE75D7" w:rsidRPr="00C71AF8" w:rsidRDefault="00BE75D7" w:rsidP="00A70CF9">
      <w:pPr>
        <w:spacing w:line="240" w:lineRule="auto"/>
        <w:rPr>
          <w:rFonts w:ascii="Times New Roman" w:hAnsi="Times New Roman" w:cs="Times New Roman"/>
          <w:sz w:val="24"/>
          <w:szCs w:val="24"/>
        </w:rPr>
      </w:pPr>
      <w:r w:rsidRPr="00C71AF8">
        <w:rPr>
          <w:rFonts w:ascii="Times New Roman" w:hAnsi="Times New Roman" w:cs="Times New Roman"/>
          <w:sz w:val="24"/>
          <w:szCs w:val="24"/>
        </w:rPr>
        <w:t>References</w:t>
      </w:r>
    </w:p>
    <w:p w:rsidR="00BE75D7" w:rsidRPr="00C71AF8" w:rsidRDefault="00BE75D7" w:rsidP="00BE75D7">
      <w:pPr>
        <w:spacing w:after="0" w:line="240" w:lineRule="auto"/>
        <w:rPr>
          <w:rFonts w:ascii="Times New Roman" w:hAnsi="Times New Roman" w:cs="Times New Roman"/>
          <w:sz w:val="24"/>
          <w:szCs w:val="24"/>
        </w:rPr>
      </w:pPr>
      <w:r w:rsidRPr="00C71AF8">
        <w:rPr>
          <w:rFonts w:ascii="Times New Roman" w:hAnsi="Times New Roman" w:cs="Times New Roman"/>
          <w:sz w:val="24"/>
          <w:szCs w:val="24"/>
        </w:rPr>
        <w:t>Eckard, R.(2014) Factors Affecting Nitrate Accumulating in Herbage . Retrieved from</w:t>
      </w:r>
    </w:p>
    <w:p w:rsidR="00BE75D7" w:rsidRPr="00C71AF8" w:rsidRDefault="00BE75D7" w:rsidP="00BE75D7">
      <w:pPr>
        <w:spacing w:after="0" w:line="240" w:lineRule="auto"/>
        <w:rPr>
          <w:rFonts w:ascii="Times New Roman" w:hAnsi="Times New Roman" w:cs="Times New Roman"/>
          <w:sz w:val="24"/>
          <w:szCs w:val="24"/>
        </w:rPr>
      </w:pPr>
      <w:r w:rsidRPr="00C71AF8">
        <w:rPr>
          <w:rFonts w:ascii="Times New Roman" w:hAnsi="Times New Roman" w:cs="Times New Roman"/>
          <w:sz w:val="24"/>
          <w:szCs w:val="24"/>
        </w:rPr>
        <w:t xml:space="preserve"> </w:t>
      </w:r>
      <w:r w:rsidRPr="00C71AF8">
        <w:rPr>
          <w:rFonts w:ascii="Times New Roman" w:hAnsi="Times New Roman" w:cs="Times New Roman"/>
          <w:sz w:val="24"/>
          <w:szCs w:val="24"/>
        </w:rPr>
        <w:tab/>
      </w:r>
      <w:hyperlink r:id="rId9" w:history="1">
        <w:r w:rsidRPr="00C71AF8">
          <w:rPr>
            <w:rStyle w:val="Hyperlink"/>
            <w:rFonts w:ascii="Times New Roman" w:hAnsi="Times New Roman" w:cs="Times New Roman"/>
            <w:sz w:val="24"/>
            <w:szCs w:val="24"/>
          </w:rPr>
          <w:t>http://www.greenhouse.unimelb.edu.au/nitrogen/Nitrate.htm</w:t>
        </w:r>
      </w:hyperlink>
      <w:r w:rsidRPr="00C71AF8">
        <w:rPr>
          <w:rFonts w:ascii="Times New Roman" w:hAnsi="Times New Roman" w:cs="Times New Roman"/>
          <w:sz w:val="24"/>
          <w:szCs w:val="24"/>
        </w:rPr>
        <w:t xml:space="preserve"> </w:t>
      </w:r>
    </w:p>
    <w:p w:rsidR="00BE75D7" w:rsidRPr="00C71AF8" w:rsidRDefault="00BE75D7" w:rsidP="00BE75D7">
      <w:pPr>
        <w:spacing w:after="0" w:line="240" w:lineRule="auto"/>
        <w:rPr>
          <w:rFonts w:ascii="Times New Roman" w:hAnsi="Times New Roman" w:cs="Times New Roman"/>
          <w:sz w:val="24"/>
          <w:szCs w:val="24"/>
        </w:rPr>
      </w:pPr>
      <w:r w:rsidRPr="00C71AF8">
        <w:rPr>
          <w:rFonts w:ascii="Times New Roman" w:hAnsi="Times New Roman" w:cs="Times New Roman"/>
          <w:sz w:val="24"/>
          <w:szCs w:val="24"/>
        </w:rPr>
        <w:lastRenderedPageBreak/>
        <w:t>ESSRE.(2001) General Discription of the ESSRE Survey Sites. Retrieved from</w:t>
      </w:r>
    </w:p>
    <w:p w:rsidR="00BE75D7" w:rsidRPr="00C71AF8" w:rsidRDefault="00AE23F5" w:rsidP="00BE75D7">
      <w:pPr>
        <w:spacing w:after="0" w:line="240" w:lineRule="auto"/>
        <w:ind w:firstLine="720"/>
        <w:rPr>
          <w:rFonts w:ascii="Times New Roman" w:hAnsi="Times New Roman" w:cs="Times New Roman"/>
          <w:sz w:val="24"/>
          <w:szCs w:val="24"/>
        </w:rPr>
      </w:pPr>
      <w:hyperlink r:id="rId10" w:history="1">
        <w:r w:rsidR="00BE75D7" w:rsidRPr="00C71AF8">
          <w:rPr>
            <w:rStyle w:val="Hyperlink"/>
            <w:rFonts w:ascii="Times New Roman" w:hAnsi="Times New Roman" w:cs="Times New Roman"/>
            <w:sz w:val="24"/>
            <w:szCs w:val="24"/>
          </w:rPr>
          <w:t>http://essre.rpcs.org/ESSRELocations.htm</w:t>
        </w:r>
      </w:hyperlink>
      <w:r w:rsidR="00BE75D7" w:rsidRPr="00C71AF8">
        <w:rPr>
          <w:rFonts w:ascii="Times New Roman" w:hAnsi="Times New Roman" w:cs="Times New Roman"/>
          <w:sz w:val="24"/>
          <w:szCs w:val="24"/>
        </w:rPr>
        <w:t xml:space="preserve"> </w:t>
      </w:r>
    </w:p>
    <w:p w:rsidR="00BE75D7" w:rsidRPr="00C71AF8" w:rsidRDefault="00BE75D7" w:rsidP="00BE75D7">
      <w:pPr>
        <w:spacing w:after="0" w:line="240" w:lineRule="auto"/>
        <w:rPr>
          <w:rFonts w:ascii="Times New Roman" w:hAnsi="Times New Roman" w:cs="Times New Roman"/>
          <w:sz w:val="24"/>
          <w:szCs w:val="24"/>
        </w:rPr>
      </w:pPr>
      <w:r w:rsidRPr="00C71AF8">
        <w:rPr>
          <w:rFonts w:ascii="Times New Roman" w:hAnsi="Times New Roman" w:cs="Times New Roman"/>
          <w:sz w:val="24"/>
          <w:szCs w:val="24"/>
        </w:rPr>
        <w:t>Hilton J. (2014) Comprehensive Description. Retrieved from</w:t>
      </w:r>
    </w:p>
    <w:p w:rsidR="00BE75D7" w:rsidRPr="00C71AF8" w:rsidRDefault="00AE23F5" w:rsidP="00BE75D7">
      <w:pPr>
        <w:spacing w:after="0" w:line="240" w:lineRule="auto"/>
        <w:ind w:firstLine="720"/>
        <w:rPr>
          <w:rFonts w:ascii="Times New Roman" w:hAnsi="Times New Roman" w:cs="Times New Roman"/>
          <w:sz w:val="24"/>
          <w:szCs w:val="24"/>
        </w:rPr>
      </w:pPr>
      <w:hyperlink r:id="rId11" w:history="1">
        <w:r w:rsidR="00BE75D7" w:rsidRPr="00C71AF8">
          <w:rPr>
            <w:rStyle w:val="Hyperlink"/>
            <w:rFonts w:ascii="Times New Roman" w:hAnsi="Times New Roman" w:cs="Times New Roman"/>
            <w:sz w:val="24"/>
            <w:szCs w:val="24"/>
          </w:rPr>
          <w:t>http://eol.org/pages/1114464/details</w:t>
        </w:r>
      </w:hyperlink>
      <w:r w:rsidR="00BE75D7" w:rsidRPr="00C71AF8">
        <w:rPr>
          <w:rFonts w:ascii="Times New Roman" w:hAnsi="Times New Roman" w:cs="Times New Roman"/>
          <w:sz w:val="24"/>
          <w:szCs w:val="24"/>
        </w:rPr>
        <w:t xml:space="preserve"> </w:t>
      </w:r>
    </w:p>
    <w:p w:rsidR="00BE75D7" w:rsidRPr="00C71AF8" w:rsidRDefault="00BE75D7" w:rsidP="00BE75D7">
      <w:pPr>
        <w:spacing w:after="0"/>
        <w:rPr>
          <w:rFonts w:ascii="Times New Roman" w:hAnsi="Times New Roman" w:cs="Times New Roman"/>
          <w:sz w:val="24"/>
          <w:szCs w:val="24"/>
        </w:rPr>
      </w:pPr>
      <w:r w:rsidRPr="00C71AF8">
        <w:rPr>
          <w:rFonts w:ascii="Times New Roman" w:hAnsi="Times New Roman" w:cs="Times New Roman"/>
          <w:sz w:val="24"/>
          <w:szCs w:val="24"/>
        </w:rPr>
        <w:t xml:space="preserve">Laria G., Shay M. &amp; Kuser M. (2014) Influences on Nitrate Leaching in the Soils of an Ecosystem </w:t>
      </w:r>
    </w:p>
    <w:p w:rsidR="00BE75D7" w:rsidRPr="00C71AF8" w:rsidRDefault="00BE75D7" w:rsidP="00BE75D7">
      <w:pPr>
        <w:spacing w:after="0"/>
        <w:rPr>
          <w:rFonts w:ascii="Times New Roman" w:hAnsi="Times New Roman" w:cs="Times New Roman"/>
          <w:sz w:val="24"/>
          <w:szCs w:val="24"/>
        </w:rPr>
      </w:pPr>
      <w:r w:rsidRPr="00C71AF8">
        <w:rPr>
          <w:rFonts w:ascii="Times New Roman" w:hAnsi="Times New Roman" w:cs="Times New Roman"/>
          <w:sz w:val="24"/>
          <w:szCs w:val="24"/>
        </w:rPr>
        <w:t xml:space="preserve">               Deciduous  Forest; A Case Study, 1-15. </w:t>
      </w:r>
    </w:p>
    <w:p w:rsidR="00BE75D7" w:rsidRPr="00C71AF8" w:rsidRDefault="00BE75D7" w:rsidP="00BE75D7">
      <w:pPr>
        <w:spacing w:after="0"/>
        <w:rPr>
          <w:rFonts w:ascii="Times New Roman" w:hAnsi="Times New Roman" w:cs="Times New Roman"/>
          <w:sz w:val="24"/>
          <w:szCs w:val="24"/>
        </w:rPr>
      </w:pPr>
      <w:r w:rsidRPr="00C71AF8">
        <w:rPr>
          <w:rFonts w:ascii="Times New Roman" w:hAnsi="Times New Roman" w:cs="Times New Roman"/>
          <w:sz w:val="24"/>
          <w:szCs w:val="24"/>
        </w:rPr>
        <w:t xml:space="preserve">Murphy, S. (2007) General Information of Nitrogen. City of Boulder/ USGS Water Quality Monitoring. </w:t>
      </w:r>
    </w:p>
    <w:p w:rsidR="00BE75D7" w:rsidRPr="00C71AF8" w:rsidRDefault="00AE23F5" w:rsidP="00BE75D7">
      <w:pPr>
        <w:spacing w:after="0"/>
        <w:ind w:firstLine="720"/>
        <w:rPr>
          <w:rFonts w:ascii="Times New Roman" w:hAnsi="Times New Roman" w:cs="Times New Roman"/>
          <w:sz w:val="24"/>
          <w:szCs w:val="24"/>
        </w:rPr>
      </w:pPr>
      <w:hyperlink r:id="rId12" w:history="1">
        <w:r w:rsidR="00BE75D7" w:rsidRPr="00C71AF8">
          <w:rPr>
            <w:rStyle w:val="Hyperlink"/>
            <w:rFonts w:ascii="Times New Roman" w:hAnsi="Times New Roman" w:cs="Times New Roman"/>
            <w:sz w:val="24"/>
            <w:szCs w:val="24"/>
          </w:rPr>
          <w:t>http://bcn.boulder.co.us/basin/data/NEW/info/NO3+NO2.html</w:t>
        </w:r>
      </w:hyperlink>
      <w:r w:rsidR="00BE75D7" w:rsidRPr="00C71AF8">
        <w:rPr>
          <w:rStyle w:val="Hyperlink"/>
          <w:rFonts w:ascii="Times New Roman" w:hAnsi="Times New Roman" w:cs="Times New Roman"/>
          <w:sz w:val="24"/>
          <w:szCs w:val="24"/>
        </w:rPr>
        <w:t xml:space="preserve"> </w:t>
      </w:r>
      <w:r w:rsidR="00BE75D7" w:rsidRPr="00C71AF8">
        <w:rPr>
          <w:rFonts w:ascii="Times New Roman" w:hAnsi="Times New Roman" w:cs="Times New Roman"/>
          <w:sz w:val="24"/>
          <w:szCs w:val="24"/>
        </w:rPr>
        <w:t xml:space="preserve"> </w:t>
      </w:r>
    </w:p>
    <w:p w:rsidR="00BE75D7" w:rsidRPr="00C71AF8" w:rsidRDefault="00BE75D7" w:rsidP="00BE75D7">
      <w:pPr>
        <w:spacing w:after="0"/>
        <w:rPr>
          <w:rFonts w:ascii="Times New Roman" w:hAnsi="Times New Roman" w:cs="Times New Roman"/>
          <w:sz w:val="24"/>
          <w:szCs w:val="24"/>
        </w:rPr>
      </w:pPr>
      <w:r w:rsidRPr="00C71AF8">
        <w:rPr>
          <w:rFonts w:ascii="Times New Roman" w:hAnsi="Times New Roman" w:cs="Times New Roman"/>
          <w:sz w:val="24"/>
          <w:szCs w:val="24"/>
        </w:rPr>
        <w:t xml:space="preserve">Oram, B.(2014) Iron and Maganese in Water A Common Problem in Northeast Pennsylvania. </w:t>
      </w:r>
    </w:p>
    <w:p w:rsidR="00BE75D7" w:rsidRPr="00C71AF8" w:rsidRDefault="00AE23F5" w:rsidP="00BE75D7">
      <w:pPr>
        <w:spacing w:after="0"/>
        <w:ind w:firstLine="720"/>
        <w:rPr>
          <w:rFonts w:ascii="Times New Roman" w:hAnsi="Times New Roman" w:cs="Times New Roman"/>
          <w:sz w:val="24"/>
          <w:szCs w:val="24"/>
        </w:rPr>
      </w:pPr>
      <w:hyperlink r:id="rId13" w:history="1">
        <w:r w:rsidR="00BE75D7" w:rsidRPr="00C71AF8">
          <w:rPr>
            <w:rStyle w:val="Hyperlink"/>
            <w:rFonts w:ascii="Times New Roman" w:hAnsi="Times New Roman" w:cs="Times New Roman"/>
            <w:sz w:val="24"/>
            <w:szCs w:val="24"/>
          </w:rPr>
          <w:t>http://www.water-research.net/index.php/iron</w:t>
        </w:r>
      </w:hyperlink>
      <w:r w:rsidR="00BE75D7" w:rsidRPr="00C71AF8">
        <w:rPr>
          <w:rFonts w:ascii="Times New Roman" w:hAnsi="Times New Roman" w:cs="Times New Roman"/>
          <w:sz w:val="24"/>
          <w:szCs w:val="24"/>
        </w:rPr>
        <w:t xml:space="preserve"> </w:t>
      </w:r>
    </w:p>
    <w:p w:rsidR="00BE75D7" w:rsidRPr="00C71AF8" w:rsidRDefault="00BE75D7" w:rsidP="00BE75D7">
      <w:pPr>
        <w:spacing w:after="0"/>
        <w:rPr>
          <w:rFonts w:ascii="Times New Roman" w:hAnsi="Times New Roman" w:cs="Times New Roman"/>
          <w:sz w:val="24"/>
          <w:szCs w:val="24"/>
        </w:rPr>
      </w:pPr>
      <w:r w:rsidRPr="00C71AF8">
        <w:rPr>
          <w:rFonts w:ascii="Times New Roman" w:hAnsi="Times New Roman" w:cs="Times New Roman"/>
          <w:sz w:val="24"/>
          <w:szCs w:val="24"/>
        </w:rPr>
        <w:t xml:space="preserve">Poaceae. (2014) In Encyclopedia Britannica. Retrieved from </w:t>
      </w:r>
    </w:p>
    <w:p w:rsidR="00BE75D7" w:rsidRPr="00C71AF8" w:rsidRDefault="00AE23F5" w:rsidP="00BE75D7">
      <w:pPr>
        <w:spacing w:after="0"/>
        <w:ind w:firstLine="720"/>
        <w:rPr>
          <w:rFonts w:ascii="Times New Roman" w:hAnsi="Times New Roman" w:cs="Times New Roman"/>
          <w:sz w:val="24"/>
          <w:szCs w:val="24"/>
        </w:rPr>
      </w:pPr>
      <w:hyperlink r:id="rId14" w:history="1">
        <w:r w:rsidR="00BE75D7" w:rsidRPr="00C71AF8">
          <w:rPr>
            <w:rStyle w:val="Hyperlink"/>
            <w:rFonts w:ascii="Times New Roman" w:hAnsi="Times New Roman" w:cs="Times New Roman"/>
            <w:sz w:val="24"/>
            <w:szCs w:val="24"/>
          </w:rPr>
          <w:t>http://www.britannica.com/EBchecked/topic/465603/Poaceae</w:t>
        </w:r>
      </w:hyperlink>
      <w:r w:rsidR="00BE75D7" w:rsidRPr="00C71AF8">
        <w:rPr>
          <w:rFonts w:ascii="Times New Roman" w:hAnsi="Times New Roman" w:cs="Times New Roman"/>
          <w:sz w:val="24"/>
          <w:szCs w:val="24"/>
        </w:rPr>
        <w:t xml:space="preserve"> </w:t>
      </w:r>
    </w:p>
    <w:p w:rsidR="00BE75D7" w:rsidRPr="00C71AF8" w:rsidRDefault="00BE75D7" w:rsidP="00BE75D7">
      <w:pPr>
        <w:spacing w:after="0"/>
        <w:rPr>
          <w:rFonts w:ascii="Times New Roman" w:hAnsi="Times New Roman" w:cs="Times New Roman"/>
          <w:sz w:val="24"/>
          <w:szCs w:val="24"/>
        </w:rPr>
      </w:pPr>
      <w:r w:rsidRPr="00C71AF8">
        <w:rPr>
          <w:rFonts w:ascii="Times New Roman" w:hAnsi="Times New Roman" w:cs="Times New Roman"/>
          <w:sz w:val="24"/>
          <w:szCs w:val="24"/>
        </w:rPr>
        <w:t xml:space="preserve">Serchan S.&amp; Jones D. (2009)The Baltimore Ecosystem Study Virtual Tour. </w:t>
      </w:r>
    </w:p>
    <w:p w:rsidR="00BE75D7" w:rsidRPr="00C71AF8" w:rsidRDefault="00AE23F5" w:rsidP="00BE75D7">
      <w:pPr>
        <w:spacing w:after="0" w:line="213" w:lineRule="atLeast"/>
        <w:ind w:firstLine="720"/>
        <w:rPr>
          <w:rFonts w:ascii="Times New Roman" w:hAnsi="Times New Roman" w:cs="Times New Roman"/>
          <w:color w:val="333333"/>
          <w:sz w:val="24"/>
          <w:szCs w:val="24"/>
        </w:rPr>
      </w:pPr>
      <w:hyperlink r:id="rId15" w:history="1">
        <w:r w:rsidR="00BE75D7" w:rsidRPr="00C71AF8">
          <w:rPr>
            <w:rStyle w:val="Hyperlink"/>
            <w:rFonts w:ascii="Times New Roman" w:hAnsi="Times New Roman" w:cs="Times New Roman"/>
            <w:sz w:val="24"/>
            <w:szCs w:val="24"/>
          </w:rPr>
          <w:t>http://www.beslter.org/virtual_tour/Nitrate.html</w:t>
        </w:r>
      </w:hyperlink>
      <w:r w:rsidR="00BE75D7" w:rsidRPr="00C71AF8">
        <w:rPr>
          <w:rFonts w:ascii="Times New Roman" w:hAnsi="Times New Roman" w:cs="Times New Roman"/>
          <w:color w:val="333333"/>
          <w:sz w:val="24"/>
          <w:szCs w:val="24"/>
        </w:rPr>
        <w:t xml:space="preserve"> </w:t>
      </w:r>
    </w:p>
    <w:p w:rsidR="00BE75D7" w:rsidRPr="00C71AF8" w:rsidRDefault="00BE75D7" w:rsidP="00BE75D7">
      <w:pPr>
        <w:spacing w:after="0" w:line="213" w:lineRule="atLeast"/>
        <w:ind w:firstLine="720"/>
        <w:rPr>
          <w:rFonts w:ascii="Times New Roman" w:hAnsi="Times New Roman" w:cs="Times New Roman"/>
          <w:color w:val="333333"/>
          <w:sz w:val="24"/>
          <w:szCs w:val="24"/>
        </w:rPr>
      </w:pPr>
    </w:p>
    <w:p w:rsidR="00BE75D7" w:rsidRPr="00C71AF8" w:rsidRDefault="00BE75D7" w:rsidP="00BE75D7">
      <w:pPr>
        <w:spacing w:after="0" w:line="213" w:lineRule="atLeast"/>
        <w:rPr>
          <w:rFonts w:ascii="Times New Roman" w:hAnsi="Times New Roman" w:cs="Times New Roman"/>
          <w:color w:val="333333"/>
          <w:sz w:val="24"/>
          <w:szCs w:val="24"/>
        </w:rPr>
      </w:pPr>
      <w:r w:rsidRPr="00C71AF8">
        <w:rPr>
          <w:rFonts w:ascii="Times New Roman" w:hAnsi="Times New Roman" w:cs="Times New Roman"/>
          <w:color w:val="333333"/>
          <w:sz w:val="24"/>
          <w:szCs w:val="24"/>
        </w:rPr>
        <w:t>Acknowledgements</w:t>
      </w:r>
    </w:p>
    <w:p w:rsidR="00BE75D7" w:rsidRPr="00C71AF8" w:rsidRDefault="00BE75D7" w:rsidP="00BE75D7">
      <w:pPr>
        <w:spacing w:after="0" w:line="213" w:lineRule="atLeast"/>
        <w:rPr>
          <w:rFonts w:ascii="Times New Roman" w:hAnsi="Times New Roman" w:cs="Times New Roman"/>
          <w:color w:val="333333"/>
          <w:sz w:val="24"/>
          <w:szCs w:val="24"/>
        </w:rPr>
      </w:pPr>
    </w:p>
    <w:p w:rsidR="00BE75D7" w:rsidRPr="00C71AF8" w:rsidRDefault="00BE75D7" w:rsidP="00BE75D7">
      <w:pPr>
        <w:spacing w:after="0" w:line="213" w:lineRule="atLeast"/>
        <w:rPr>
          <w:rFonts w:ascii="Times New Roman" w:hAnsi="Times New Roman" w:cs="Times New Roman"/>
          <w:color w:val="333333"/>
          <w:sz w:val="24"/>
          <w:szCs w:val="24"/>
        </w:rPr>
      </w:pPr>
      <w:r w:rsidRPr="00C71AF8">
        <w:rPr>
          <w:rFonts w:ascii="Times New Roman" w:hAnsi="Times New Roman" w:cs="Times New Roman"/>
          <w:color w:val="333333"/>
          <w:sz w:val="24"/>
          <w:szCs w:val="24"/>
        </w:rPr>
        <w:t>We would like to thank our sponsors Dr. Heine, Larry Jennings, and Human Capital Development for their funding and support. In addition, we would like to acknowledge our peers Olivia Khanna, Lauren Adams, Julia MacGibeny, and Grace King for helping us with data collection. Thank you to our TA’s Katherine, Ella, and Taylor for going through countless drafts and making countless corrections. Lastly, we would like to thank our instructor, Mr. David Brock, for helping us all every step of the way.</w:t>
      </w:r>
    </w:p>
    <w:p w:rsidR="00A70CF9" w:rsidRDefault="00A70CF9" w:rsidP="00C71AF8">
      <w:pPr>
        <w:tabs>
          <w:tab w:val="left" w:pos="2655"/>
        </w:tabs>
        <w:spacing w:after="0"/>
      </w:pPr>
      <w:r>
        <w:rPr>
          <w:noProof/>
        </w:rPr>
        <mc:AlternateContent>
          <mc:Choice Requires="wps">
            <w:drawing>
              <wp:anchor distT="0" distB="0" distL="114300" distR="114300" simplePos="0" relativeHeight="251659264" behindDoc="0" locked="0" layoutInCell="1" allowOverlap="1" wp14:anchorId="10A81295" wp14:editId="1ADDAAA2">
                <wp:simplePos x="0" y="0"/>
                <wp:positionH relativeFrom="column">
                  <wp:posOffset>1544955</wp:posOffset>
                </wp:positionH>
                <wp:positionV relativeFrom="paragraph">
                  <wp:posOffset>178435</wp:posOffset>
                </wp:positionV>
                <wp:extent cx="2374265" cy="3238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solidFill>
                          <a:srgbClr val="FFFFFF"/>
                        </a:solidFill>
                        <a:ln w="9525">
                          <a:solidFill>
                            <a:schemeClr val="bg1"/>
                          </a:solidFill>
                          <a:miter lim="800000"/>
                          <a:headEnd/>
                          <a:tailEnd/>
                        </a:ln>
                      </wps:spPr>
                      <wps:txbx>
                        <w:txbxContent>
                          <w:p w:rsidR="00A70CF9" w:rsidRDefault="00A70CF9" w:rsidP="00A70CF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A81295" id="_x0000_s1027" type="#_x0000_t202" style="position:absolute;margin-left:121.65pt;margin-top:14.05pt;width:186.95pt;height:2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" strokecolor="white [3212]">
                <v:textbox>
                  <w:txbxContent>
                    <w:p w:rsidR="00A70CF9" w:rsidRDefault="00A70CF9" w:rsidP="00A70CF9"/>
                  </w:txbxContent>
                </v:textbox>
              </v:shape>
            </w:pict>
          </mc:Fallback>
        </mc:AlternateContent>
      </w:r>
    </w:p>
    <w:sectPr w:rsidR="00A70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D5"/>
    <w:rsid w:val="00005929"/>
    <w:rsid w:val="0003560D"/>
    <w:rsid w:val="000836A7"/>
    <w:rsid w:val="000C2C55"/>
    <w:rsid w:val="0015193D"/>
    <w:rsid w:val="00161931"/>
    <w:rsid w:val="001661DA"/>
    <w:rsid w:val="00195F4E"/>
    <w:rsid w:val="00203DC1"/>
    <w:rsid w:val="00261898"/>
    <w:rsid w:val="002D3669"/>
    <w:rsid w:val="0037388D"/>
    <w:rsid w:val="003759EA"/>
    <w:rsid w:val="003C3221"/>
    <w:rsid w:val="0041326B"/>
    <w:rsid w:val="00437581"/>
    <w:rsid w:val="004F5B31"/>
    <w:rsid w:val="004F70B9"/>
    <w:rsid w:val="005169F1"/>
    <w:rsid w:val="00527E35"/>
    <w:rsid w:val="005435C8"/>
    <w:rsid w:val="00604E33"/>
    <w:rsid w:val="00617AC9"/>
    <w:rsid w:val="00692358"/>
    <w:rsid w:val="006C1EED"/>
    <w:rsid w:val="006C4BDB"/>
    <w:rsid w:val="006C6CC5"/>
    <w:rsid w:val="006F63E1"/>
    <w:rsid w:val="00712334"/>
    <w:rsid w:val="00751A3E"/>
    <w:rsid w:val="0075629D"/>
    <w:rsid w:val="007A1D1E"/>
    <w:rsid w:val="007C7A90"/>
    <w:rsid w:val="00883AD5"/>
    <w:rsid w:val="009004D5"/>
    <w:rsid w:val="00925C77"/>
    <w:rsid w:val="00957216"/>
    <w:rsid w:val="00986B10"/>
    <w:rsid w:val="009A7606"/>
    <w:rsid w:val="009F2BF5"/>
    <w:rsid w:val="009F4030"/>
    <w:rsid w:val="00A14A95"/>
    <w:rsid w:val="00A70CF9"/>
    <w:rsid w:val="00AB79EB"/>
    <w:rsid w:val="00AC543C"/>
    <w:rsid w:val="00AE23F5"/>
    <w:rsid w:val="00BA6582"/>
    <w:rsid w:val="00BE75D7"/>
    <w:rsid w:val="00BF0B7D"/>
    <w:rsid w:val="00C12163"/>
    <w:rsid w:val="00C51C5B"/>
    <w:rsid w:val="00C708DD"/>
    <w:rsid w:val="00C71AF8"/>
    <w:rsid w:val="00CF06DA"/>
    <w:rsid w:val="00D00779"/>
    <w:rsid w:val="00D06FCB"/>
    <w:rsid w:val="00D37FC7"/>
    <w:rsid w:val="00D61A87"/>
    <w:rsid w:val="00D7493D"/>
    <w:rsid w:val="00DF0DDF"/>
    <w:rsid w:val="00E01F62"/>
    <w:rsid w:val="00E079D5"/>
    <w:rsid w:val="00E11B05"/>
    <w:rsid w:val="00E132B4"/>
    <w:rsid w:val="00E24C1D"/>
    <w:rsid w:val="00E275CB"/>
    <w:rsid w:val="00E510CE"/>
    <w:rsid w:val="00E548A2"/>
    <w:rsid w:val="00EF09D2"/>
    <w:rsid w:val="00F34BA9"/>
    <w:rsid w:val="00F354DE"/>
    <w:rsid w:val="00F664D7"/>
    <w:rsid w:val="00F843EC"/>
    <w:rsid w:val="00FA4780"/>
    <w:rsid w:val="00FD418C"/>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FBE2F-E250-4362-B51B-E9B964EA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C8"/>
    <w:rPr>
      <w:rFonts w:ascii="Tahoma" w:hAnsi="Tahoma" w:cs="Tahoma"/>
      <w:sz w:val="16"/>
      <w:szCs w:val="16"/>
    </w:rPr>
  </w:style>
  <w:style w:type="table" w:styleId="TableGrid">
    <w:name w:val="Table Grid"/>
    <w:basedOn w:val="TableNormal"/>
    <w:uiPriority w:val="59"/>
    <w:rsid w:val="00A70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70C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BE7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ater-research.net/index.php/iron" TargetMode="Externa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hyperlink" Target="http://bcn.boulder.co.us/basin/data/NEW/info/NO3+NO2.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3.png@01CFA586.097188F0" TargetMode="External"/><Relationship Id="rId11" Type="http://schemas.openxmlformats.org/officeDocument/2006/relationships/hyperlink" Target="http://eol.org/pages/1114464/details" TargetMode="External"/><Relationship Id="rId5" Type="http://schemas.openxmlformats.org/officeDocument/2006/relationships/image" Target="media/image2.png"/><Relationship Id="rId15" Type="http://schemas.openxmlformats.org/officeDocument/2006/relationships/hyperlink" Target="http://www.beslter.org/virtual_tour/Nitrate.html" TargetMode="External"/><Relationship Id="rId10" Type="http://schemas.openxmlformats.org/officeDocument/2006/relationships/hyperlink" Target="http://essre.rpcs.org/ESSRELocations.htm" TargetMode="External"/><Relationship Id="rId4" Type="http://schemas.openxmlformats.org/officeDocument/2006/relationships/image" Target="media/image1.jpeg"/><Relationship Id="rId9" Type="http://schemas.openxmlformats.org/officeDocument/2006/relationships/hyperlink" Target="http://www.greenhouse.unimelb.edu.au/nitrogen/Nitrate.htm" TargetMode="External"/><Relationship Id="rId14" Type="http://schemas.openxmlformats.org/officeDocument/2006/relationships/hyperlink" Target="http://www.britannica.com/EBchecked/topic/465603/Poacea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6.5286698864674086E-2"/>
          <c:y val="5.1989413927301893E-2"/>
          <c:w val="0.82031167979002628"/>
          <c:h val="0.85670907533947327"/>
        </c:manualLayout>
      </c:layout>
      <c:barChart>
        <c:barDir val="col"/>
        <c:grouping val="clustered"/>
        <c:varyColors val="0"/>
        <c:ser>
          <c:idx val="0"/>
          <c:order val="0"/>
          <c:tx>
            <c:strRef>
              <c:f>Sheet1!$B$1</c:f>
              <c:strCache>
                <c:ptCount val="1"/>
                <c:pt idx="0">
                  <c:v>Day 1</c:v>
                </c:pt>
              </c:strCache>
            </c:strRef>
          </c:tx>
          <c:spPr>
            <a:solidFill>
              <a:srgbClr val="CC0000"/>
            </a:solidFill>
            <a:ln>
              <a:solidFill>
                <a:schemeClr val="accent2">
                  <a:lumMod val="75000"/>
                </a:schemeClr>
              </a:solidFill>
            </a:ln>
          </c:spPr>
          <c:invertIfNegative val="0"/>
          <c:cat>
            <c:strRef>
              <c:f>Sheet1!$A$2:$A$5</c:f>
              <c:strCache>
                <c:ptCount val="4"/>
                <c:pt idx="0">
                  <c:v>Positive Control</c:v>
                </c:pt>
                <c:pt idx="1">
                  <c:v>Negative Control</c:v>
                </c:pt>
                <c:pt idx="2">
                  <c:v>50% White Grass</c:v>
                </c:pt>
                <c:pt idx="3">
                  <c:v>100% White Grass</c:v>
                </c:pt>
              </c:strCache>
            </c:strRef>
          </c:cat>
          <c:val>
            <c:numRef>
              <c:f>Sheet1!$B$2:$B$5</c:f>
              <c:numCache>
                <c:formatCode>General</c:formatCode>
                <c:ptCount val="4"/>
                <c:pt idx="0">
                  <c:v>7</c:v>
                </c:pt>
                <c:pt idx="1">
                  <c:v>5</c:v>
                </c:pt>
                <c:pt idx="2">
                  <c:v>5</c:v>
                </c:pt>
                <c:pt idx="3">
                  <c:v>5</c:v>
                </c:pt>
              </c:numCache>
            </c:numRef>
          </c:val>
        </c:ser>
        <c:ser>
          <c:idx val="1"/>
          <c:order val="1"/>
          <c:tx>
            <c:strRef>
              <c:f>Sheet1!$C$1</c:f>
              <c:strCache>
                <c:ptCount val="1"/>
                <c:pt idx="0">
                  <c:v>Day 2</c:v>
                </c:pt>
              </c:strCache>
            </c:strRef>
          </c:tx>
          <c:spPr>
            <a:solidFill>
              <a:srgbClr val="FF7C80"/>
            </a:solidFill>
            <a:ln>
              <a:solidFill>
                <a:srgbClr val="CC0000"/>
              </a:solidFill>
            </a:ln>
          </c:spPr>
          <c:invertIfNegative val="0"/>
          <c:cat>
            <c:strRef>
              <c:f>Sheet1!$A$2:$A$5</c:f>
              <c:strCache>
                <c:ptCount val="4"/>
                <c:pt idx="0">
                  <c:v>Positive Control</c:v>
                </c:pt>
                <c:pt idx="1">
                  <c:v>Negative Control</c:v>
                </c:pt>
                <c:pt idx="2">
                  <c:v>50% White Grass</c:v>
                </c:pt>
                <c:pt idx="3">
                  <c:v>100% White Grass</c:v>
                </c:pt>
              </c:strCache>
            </c:strRef>
          </c:cat>
          <c:val>
            <c:numRef>
              <c:f>Sheet1!$C$2:$C$5</c:f>
              <c:numCache>
                <c:formatCode>General</c:formatCode>
                <c:ptCount val="4"/>
                <c:pt idx="0">
                  <c:v>6.5</c:v>
                </c:pt>
                <c:pt idx="1">
                  <c:v>6</c:v>
                </c:pt>
                <c:pt idx="2">
                  <c:v>5</c:v>
                </c:pt>
                <c:pt idx="3">
                  <c:v>5</c:v>
                </c:pt>
              </c:numCache>
            </c:numRef>
          </c:val>
        </c:ser>
        <c:ser>
          <c:idx val="2"/>
          <c:order val="2"/>
          <c:tx>
            <c:strRef>
              <c:f>Sheet1!$D$1</c:f>
              <c:strCache>
                <c:ptCount val="1"/>
                <c:pt idx="0">
                  <c:v>Day 3</c:v>
                </c:pt>
              </c:strCache>
            </c:strRef>
          </c:tx>
          <c:spPr>
            <a:solidFill>
              <a:srgbClr val="FFCCCC"/>
            </a:solidFill>
            <a:ln>
              <a:solidFill>
                <a:srgbClr val="CC0000"/>
              </a:solidFill>
            </a:ln>
          </c:spPr>
          <c:invertIfNegative val="0"/>
          <c:cat>
            <c:strRef>
              <c:f>Sheet1!$A$2:$A$5</c:f>
              <c:strCache>
                <c:ptCount val="4"/>
                <c:pt idx="0">
                  <c:v>Positive Control</c:v>
                </c:pt>
                <c:pt idx="1">
                  <c:v>Negative Control</c:v>
                </c:pt>
                <c:pt idx="2">
                  <c:v>50% White Grass</c:v>
                </c:pt>
                <c:pt idx="3">
                  <c:v>100% White Grass</c:v>
                </c:pt>
              </c:strCache>
            </c:strRef>
          </c:cat>
          <c:val>
            <c:numRef>
              <c:f>Sheet1!$D$2:$D$5</c:f>
              <c:numCache>
                <c:formatCode>General</c:formatCode>
                <c:ptCount val="4"/>
                <c:pt idx="0">
                  <c:v>6.5</c:v>
                </c:pt>
                <c:pt idx="1">
                  <c:v>4</c:v>
                </c:pt>
                <c:pt idx="2">
                  <c:v>5.5</c:v>
                </c:pt>
                <c:pt idx="3">
                  <c:v>5</c:v>
                </c:pt>
              </c:numCache>
            </c:numRef>
          </c:val>
        </c:ser>
        <c:ser>
          <c:idx val="3"/>
          <c:order val="3"/>
          <c:tx>
            <c:strRef>
              <c:f>Sheet1!$E$1</c:f>
              <c:strCache>
                <c:ptCount val="1"/>
                <c:pt idx="0">
                  <c:v>Day 4</c:v>
                </c:pt>
              </c:strCache>
            </c:strRef>
          </c:tx>
          <c:spPr>
            <a:solidFill>
              <a:srgbClr val="FFECD9"/>
            </a:solidFill>
            <a:ln>
              <a:solidFill>
                <a:srgbClr val="CC0000"/>
              </a:solidFill>
            </a:ln>
          </c:spPr>
          <c:invertIfNegative val="0"/>
          <c:cat>
            <c:strRef>
              <c:f>Sheet1!$A$2:$A$5</c:f>
              <c:strCache>
                <c:ptCount val="4"/>
                <c:pt idx="0">
                  <c:v>Positive Control</c:v>
                </c:pt>
                <c:pt idx="1">
                  <c:v>Negative Control</c:v>
                </c:pt>
                <c:pt idx="2">
                  <c:v>50% White Grass</c:v>
                </c:pt>
                <c:pt idx="3">
                  <c:v>100% White Grass</c:v>
                </c:pt>
              </c:strCache>
            </c:strRef>
          </c:cat>
          <c:val>
            <c:numRef>
              <c:f>Sheet1!$E$2:$E$5</c:f>
              <c:numCache>
                <c:formatCode>General</c:formatCode>
                <c:ptCount val="4"/>
                <c:pt idx="0">
                  <c:v>6</c:v>
                </c:pt>
                <c:pt idx="1">
                  <c:v>5</c:v>
                </c:pt>
                <c:pt idx="2">
                  <c:v>6.5</c:v>
                </c:pt>
                <c:pt idx="3">
                  <c:v>5</c:v>
                </c:pt>
              </c:numCache>
            </c:numRef>
          </c:val>
        </c:ser>
        <c:ser>
          <c:idx val="4"/>
          <c:order val="4"/>
          <c:tx>
            <c:strRef>
              <c:f>Sheet1!$F$1</c:f>
              <c:strCache>
                <c:ptCount val="1"/>
                <c:pt idx="0">
                  <c:v>Day 5</c:v>
                </c:pt>
              </c:strCache>
            </c:strRef>
          </c:tx>
          <c:spPr>
            <a:ln>
              <a:solidFill>
                <a:schemeClr val="accent2">
                  <a:lumMod val="75000"/>
                </a:schemeClr>
              </a:solidFill>
            </a:ln>
          </c:spPr>
          <c:invertIfNegative val="0"/>
          <c:cat>
            <c:strRef>
              <c:f>Sheet1!$A$2:$A$5</c:f>
              <c:strCache>
                <c:ptCount val="4"/>
                <c:pt idx="0">
                  <c:v>Positive Control</c:v>
                </c:pt>
                <c:pt idx="1">
                  <c:v>Negative Control</c:v>
                </c:pt>
                <c:pt idx="2">
                  <c:v>50% White Grass</c:v>
                </c:pt>
                <c:pt idx="3">
                  <c:v>100% White Grass</c:v>
                </c:pt>
              </c:strCache>
            </c:strRef>
          </c:cat>
          <c:val>
            <c:numRef>
              <c:f>Sheet1!$F$2:$F$5</c:f>
              <c:numCache>
                <c:formatCode>General</c:formatCode>
                <c:ptCount val="4"/>
                <c:pt idx="0">
                  <c:v>6</c:v>
                </c:pt>
                <c:pt idx="1">
                  <c:v>5</c:v>
                </c:pt>
                <c:pt idx="2">
                  <c:v>6.5</c:v>
                </c:pt>
                <c:pt idx="3">
                  <c:v>5</c:v>
                </c:pt>
              </c:numCache>
            </c:numRef>
          </c:val>
        </c:ser>
        <c:dLbls>
          <c:showLegendKey val="0"/>
          <c:showVal val="0"/>
          <c:showCatName val="0"/>
          <c:showSerName val="0"/>
          <c:showPercent val="0"/>
          <c:showBubbleSize val="0"/>
        </c:dLbls>
        <c:gapWidth val="150"/>
        <c:axId val="387947080"/>
        <c:axId val="387947472"/>
      </c:barChart>
      <c:catAx>
        <c:axId val="387947080"/>
        <c:scaling>
          <c:orientation val="minMax"/>
        </c:scaling>
        <c:delete val="0"/>
        <c:axPos val="b"/>
        <c:numFmt formatCode="General" sourceLinked="0"/>
        <c:majorTickMark val="out"/>
        <c:minorTickMark val="none"/>
        <c:tickLblPos val="nextTo"/>
        <c:crossAx val="387947472"/>
        <c:crosses val="autoZero"/>
        <c:auto val="1"/>
        <c:lblAlgn val="ctr"/>
        <c:lblOffset val="100"/>
        <c:noMultiLvlLbl val="0"/>
      </c:catAx>
      <c:valAx>
        <c:axId val="387947472"/>
        <c:scaling>
          <c:orientation val="minMax"/>
        </c:scaling>
        <c:delete val="0"/>
        <c:axPos val="l"/>
        <c:majorGridlines/>
        <c:title>
          <c:tx>
            <c:rich>
              <a:bodyPr rot="-5400000" vert="horz"/>
              <a:lstStyle/>
              <a:p>
                <a:pPr>
                  <a:defRPr/>
                </a:pPr>
                <a:r>
                  <a:rPr lang="en-US"/>
                  <a:t>Nitrate Levles (ppm</a:t>
                </a:r>
                <a:r>
                  <a:rPr lang="en-US" baseline="0"/>
                  <a:t>)</a:t>
                </a:r>
                <a:endParaRPr lang="en-US"/>
              </a:p>
            </c:rich>
          </c:tx>
          <c:layout/>
          <c:overlay val="0"/>
        </c:title>
        <c:numFmt formatCode="General" sourceLinked="1"/>
        <c:majorTickMark val="out"/>
        <c:minorTickMark val="none"/>
        <c:tickLblPos val="nextTo"/>
        <c:crossAx val="3879470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Soudan, Najah</dc:creator>
  <cp:lastModifiedBy>Soudan, Najah</cp:lastModifiedBy>
  <cp:revision>2</cp:revision>
  <dcterms:created xsi:type="dcterms:W3CDTF">2014-09-18T15:37:00Z</dcterms:created>
  <dcterms:modified xsi:type="dcterms:W3CDTF">2014-09-18T15:37:00Z</dcterms:modified>
</cp:coreProperties>
</file>