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BE" w:rsidRDefault="00345FBE" w:rsidP="00345FBE">
      <w:pPr>
        <w:spacing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IRA Charitable Roll Over &amp; Enhanced Deductions for Donation of Conservation Easement </w:t>
      </w:r>
    </w:p>
    <w:p w:rsidR="008B0BE0" w:rsidRPr="00AE6480" w:rsidRDefault="00345FBE" w:rsidP="008441D5">
      <w:pPr>
        <w:rPr>
          <w:rFonts w:asciiTheme="majorHAnsi" w:hAnsiTheme="majorHAnsi"/>
          <w:b/>
          <w:sz w:val="24"/>
          <w:szCs w:val="24"/>
        </w:rPr>
      </w:pPr>
      <w:r w:rsidRPr="00AE6480">
        <w:rPr>
          <w:rFonts w:asciiTheme="majorHAnsi" w:hAnsiTheme="majorHAnsi"/>
          <w:b/>
          <w:sz w:val="24"/>
          <w:szCs w:val="24"/>
        </w:rPr>
        <w:t>Summary</w:t>
      </w:r>
      <w:r w:rsidR="008441D5" w:rsidRPr="00AE6480">
        <w:rPr>
          <w:rFonts w:asciiTheme="majorHAnsi" w:hAnsiTheme="majorHAnsi"/>
          <w:b/>
          <w:sz w:val="24"/>
          <w:szCs w:val="24"/>
        </w:rPr>
        <w:t xml:space="preserve">: </w:t>
      </w:r>
    </w:p>
    <w:p w:rsidR="00345FBE" w:rsidRDefault="00345FBE" w:rsidP="00345FB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America Gives More Act of 2015 would make permanent the IRA charitable rollover and the enhanced deductions for donations of conservation easements. </w:t>
      </w:r>
      <w:r w:rsidRPr="00345FBE">
        <w:rPr>
          <w:rFonts w:asciiTheme="majorHAnsi" w:hAnsiTheme="majorHAnsi"/>
          <w:sz w:val="24"/>
          <w:szCs w:val="24"/>
        </w:rPr>
        <w:t>Enhanced deduction for donations of land conservation easements allows land owners to reduce their taxable income</w:t>
      </w:r>
      <w:r>
        <w:rPr>
          <w:rFonts w:asciiTheme="majorHAnsi" w:hAnsiTheme="majorHAnsi"/>
          <w:sz w:val="24"/>
          <w:szCs w:val="24"/>
        </w:rPr>
        <w:t xml:space="preserve">. </w:t>
      </w:r>
      <w:r w:rsidR="00B17E01">
        <w:rPr>
          <w:rFonts w:asciiTheme="majorHAnsi" w:hAnsiTheme="majorHAnsi"/>
          <w:sz w:val="24"/>
          <w:szCs w:val="24"/>
        </w:rPr>
        <w:t>The legislation would exempt direct contributions to nonprofits from senior’s Individual Retirement Accounts from taxation, allow donors to deduct qualifying donations of food inventory and conservation easements and set a simple, flat tax rate for private foundations’ investment income. The bill will amend the Internal Revenue Code to increase deductions from 10% to 15% of the taxpayer’</w:t>
      </w:r>
      <w:r w:rsidR="003E0616">
        <w:rPr>
          <w:rFonts w:asciiTheme="majorHAnsi" w:hAnsiTheme="majorHAnsi"/>
          <w:sz w:val="24"/>
          <w:szCs w:val="24"/>
        </w:rPr>
        <w:t>s aggregate net income and apply a f</w:t>
      </w:r>
      <w:r w:rsidR="003E0616" w:rsidRPr="003E0616">
        <w:rPr>
          <w:rFonts w:asciiTheme="majorHAnsi" w:hAnsiTheme="majorHAnsi"/>
          <w:sz w:val="24"/>
          <w:szCs w:val="24"/>
        </w:rPr>
        <w:t>ive-year carryover period for contribution amounts exceeding percentage limitations</w:t>
      </w:r>
      <w:r w:rsidR="003E0616">
        <w:rPr>
          <w:rFonts w:asciiTheme="majorHAnsi" w:hAnsiTheme="majorHAnsi"/>
          <w:sz w:val="24"/>
          <w:szCs w:val="24"/>
        </w:rPr>
        <w:t xml:space="preserve">. </w:t>
      </w:r>
    </w:p>
    <w:p w:rsidR="008441D5" w:rsidRDefault="008441D5" w:rsidP="00345FB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America Gives More Act of 2015 is a republican originated bill. Congressman Tom Reed of New York sponsors the bill under the House Ways and Means Committee. America Gives More Act was passed in the House with 279 </w:t>
      </w:r>
      <w:proofErr w:type="spellStart"/>
      <w:r>
        <w:rPr>
          <w:rFonts w:asciiTheme="majorHAnsi" w:hAnsiTheme="majorHAnsi"/>
          <w:sz w:val="24"/>
          <w:szCs w:val="24"/>
        </w:rPr>
        <w:t>yeas</w:t>
      </w:r>
      <w:proofErr w:type="spellEnd"/>
      <w:r>
        <w:rPr>
          <w:rFonts w:asciiTheme="majorHAnsi" w:hAnsiTheme="majorHAnsi"/>
          <w:sz w:val="24"/>
          <w:szCs w:val="24"/>
        </w:rPr>
        <w:t xml:space="preserve"> and 137 nays. The bill, under a new name Trade Facilitation and Trade Enforcement Act of 2015, was passed in the Senate with 78 </w:t>
      </w:r>
      <w:proofErr w:type="spellStart"/>
      <w:r>
        <w:rPr>
          <w:rFonts w:asciiTheme="majorHAnsi" w:hAnsiTheme="majorHAnsi"/>
          <w:sz w:val="24"/>
          <w:szCs w:val="24"/>
        </w:rPr>
        <w:t>yeas</w:t>
      </w:r>
      <w:proofErr w:type="spellEnd"/>
      <w:r>
        <w:rPr>
          <w:rFonts w:asciiTheme="majorHAnsi" w:hAnsiTheme="majorHAnsi"/>
          <w:sz w:val="24"/>
          <w:szCs w:val="24"/>
        </w:rPr>
        <w:t xml:space="preserve"> and 20 nays. As of June 24, 2015, the bill is in Senate Action Conference. The Conferees are congressmen </w:t>
      </w:r>
      <w:r>
        <w:rPr>
          <w:rFonts w:asciiTheme="majorHAnsi" w:hAnsiTheme="majorHAnsi"/>
          <w:sz w:val="24"/>
        </w:rPr>
        <w:t xml:space="preserve">Hatch, </w:t>
      </w:r>
      <w:proofErr w:type="spellStart"/>
      <w:r>
        <w:rPr>
          <w:rFonts w:asciiTheme="majorHAnsi" w:hAnsiTheme="majorHAnsi"/>
          <w:sz w:val="24"/>
        </w:rPr>
        <w:t>Cornyn</w:t>
      </w:r>
      <w:proofErr w:type="spellEnd"/>
      <w:r>
        <w:rPr>
          <w:rFonts w:asciiTheme="majorHAnsi" w:hAnsiTheme="majorHAnsi"/>
          <w:sz w:val="24"/>
        </w:rPr>
        <w:t xml:space="preserve">, Thune, Isakson, Wyden, Schumer and Stabenow. </w:t>
      </w:r>
    </w:p>
    <w:p w:rsidR="008441D5" w:rsidRDefault="008441D5" w:rsidP="00345FBE">
      <w:pPr>
        <w:rPr>
          <w:rFonts w:asciiTheme="majorHAnsi" w:hAnsiTheme="majorHAnsi"/>
          <w:sz w:val="24"/>
          <w:szCs w:val="24"/>
        </w:rPr>
      </w:pPr>
    </w:p>
    <w:p w:rsidR="008441D5" w:rsidRPr="00AE6480" w:rsidRDefault="008441D5" w:rsidP="00345FBE">
      <w:pPr>
        <w:rPr>
          <w:rFonts w:asciiTheme="majorHAnsi" w:hAnsiTheme="majorHAnsi"/>
          <w:b/>
          <w:sz w:val="24"/>
          <w:szCs w:val="24"/>
        </w:rPr>
      </w:pPr>
      <w:r w:rsidRPr="00AE6480">
        <w:rPr>
          <w:rFonts w:asciiTheme="majorHAnsi" w:hAnsiTheme="majorHAnsi"/>
          <w:b/>
          <w:sz w:val="24"/>
          <w:szCs w:val="24"/>
        </w:rPr>
        <w:t xml:space="preserve">Sections: </w:t>
      </w:r>
    </w:p>
    <w:p w:rsidR="008441D5" w:rsidRPr="008441D5" w:rsidRDefault="008441D5" w:rsidP="008441D5">
      <w:pPr>
        <w:spacing w:line="240" w:lineRule="auto"/>
        <w:rPr>
          <w:rFonts w:asciiTheme="majorHAnsi" w:hAnsiTheme="majorHAnsi"/>
          <w:sz w:val="24"/>
        </w:rPr>
      </w:pPr>
      <w:r w:rsidRPr="008441D5">
        <w:rPr>
          <w:rFonts w:asciiTheme="majorHAnsi" w:hAnsiTheme="majorHAnsi"/>
          <w:sz w:val="24"/>
        </w:rPr>
        <w:t xml:space="preserve">Sec. </w:t>
      </w:r>
      <w:proofErr w:type="gramStart"/>
      <w:r w:rsidRPr="008441D5">
        <w:rPr>
          <w:rFonts w:asciiTheme="majorHAnsi" w:hAnsiTheme="majorHAnsi"/>
          <w:sz w:val="24"/>
        </w:rPr>
        <w:t>2 :</w:t>
      </w:r>
      <w:proofErr w:type="gramEnd"/>
      <w:r w:rsidRPr="008441D5">
        <w:rPr>
          <w:rFonts w:asciiTheme="majorHAnsi" w:hAnsiTheme="majorHAnsi"/>
          <w:sz w:val="24"/>
        </w:rPr>
        <w:t xml:space="preserve"> amends the Internal Revenue Code</w:t>
      </w:r>
    </w:p>
    <w:p w:rsidR="008441D5" w:rsidRPr="008441D5" w:rsidRDefault="008441D5" w:rsidP="008441D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</w:rPr>
      </w:pPr>
      <w:r w:rsidRPr="008441D5">
        <w:rPr>
          <w:rFonts w:asciiTheme="majorHAnsi" w:hAnsiTheme="majorHAnsi"/>
          <w:sz w:val="24"/>
        </w:rPr>
        <w:t xml:space="preserve">Reinstate/ make permanent the tax deduction of charitable contributions of food by any trade or business </w:t>
      </w:r>
    </w:p>
    <w:p w:rsidR="008441D5" w:rsidRPr="008441D5" w:rsidRDefault="008441D5" w:rsidP="008441D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</w:rPr>
      </w:pPr>
      <w:r w:rsidRPr="008441D5">
        <w:rPr>
          <w:rFonts w:asciiTheme="majorHAnsi" w:hAnsiTheme="majorHAnsi"/>
          <w:sz w:val="24"/>
        </w:rPr>
        <w:t xml:space="preserve">Percentage Limitation: deduction increased from 10% to 15% of the taxpayers aggregate net income </w:t>
      </w:r>
    </w:p>
    <w:p w:rsidR="008441D5" w:rsidRPr="008441D5" w:rsidRDefault="008441D5" w:rsidP="008441D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</w:rPr>
      </w:pPr>
      <w:r w:rsidRPr="008441D5">
        <w:rPr>
          <w:rFonts w:asciiTheme="majorHAnsi" w:hAnsiTheme="majorHAnsi"/>
          <w:sz w:val="24"/>
        </w:rPr>
        <w:t xml:space="preserve">Five-year carryover period for contribution amounts exceeding percentage limitations </w:t>
      </w:r>
    </w:p>
    <w:p w:rsidR="008441D5" w:rsidRPr="008441D5" w:rsidRDefault="008441D5" w:rsidP="008441D5">
      <w:pPr>
        <w:spacing w:line="240" w:lineRule="auto"/>
        <w:rPr>
          <w:rFonts w:asciiTheme="majorHAnsi" w:hAnsiTheme="majorHAnsi"/>
          <w:sz w:val="24"/>
        </w:rPr>
      </w:pPr>
      <w:r w:rsidRPr="008441D5">
        <w:rPr>
          <w:rFonts w:asciiTheme="majorHAnsi" w:hAnsiTheme="majorHAnsi"/>
          <w:sz w:val="24"/>
        </w:rPr>
        <w:t xml:space="preserve">Sec. 3: exclusion from gross income of distributions from individual retirement accounts for charitable purposes </w:t>
      </w:r>
    </w:p>
    <w:p w:rsidR="008441D5" w:rsidRPr="008441D5" w:rsidRDefault="008441D5" w:rsidP="008441D5">
      <w:pPr>
        <w:spacing w:line="240" w:lineRule="auto"/>
        <w:rPr>
          <w:rFonts w:asciiTheme="majorHAnsi" w:hAnsiTheme="majorHAnsi"/>
          <w:sz w:val="24"/>
        </w:rPr>
      </w:pPr>
      <w:r w:rsidRPr="008441D5">
        <w:rPr>
          <w:rFonts w:asciiTheme="majorHAnsi" w:hAnsiTheme="majorHAnsi"/>
          <w:sz w:val="24"/>
        </w:rPr>
        <w:t>Sec. 4: tax deduction for charitable contributions by individuals and corporations of real property interests for conservations easements</w:t>
      </w:r>
    </w:p>
    <w:p w:rsidR="008441D5" w:rsidRPr="008441D5" w:rsidRDefault="008441D5" w:rsidP="008441D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</w:rPr>
      </w:pPr>
      <w:r w:rsidRPr="008441D5">
        <w:rPr>
          <w:rFonts w:asciiTheme="majorHAnsi" w:hAnsiTheme="majorHAnsi"/>
          <w:sz w:val="24"/>
        </w:rPr>
        <w:t xml:space="preserve">Includes Alaskan Native Reservations </w:t>
      </w:r>
    </w:p>
    <w:p w:rsidR="008441D5" w:rsidRDefault="008441D5" w:rsidP="008441D5">
      <w:pPr>
        <w:spacing w:line="240" w:lineRule="auto"/>
        <w:rPr>
          <w:rFonts w:asciiTheme="majorHAnsi" w:hAnsiTheme="majorHAnsi"/>
          <w:sz w:val="24"/>
        </w:rPr>
      </w:pPr>
      <w:r w:rsidRPr="008441D5">
        <w:rPr>
          <w:rFonts w:asciiTheme="majorHAnsi" w:hAnsiTheme="majorHAnsi"/>
          <w:sz w:val="24"/>
        </w:rPr>
        <w:t xml:space="preserve">Sec. 5: tax rate on the net investment income of tax-exempt private foundations is reduced from 2% to 1% </w:t>
      </w:r>
    </w:p>
    <w:p w:rsidR="008441D5" w:rsidRDefault="00AE6480" w:rsidP="00965721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Sec. 6: e</w:t>
      </w:r>
      <w:r w:rsidRPr="00AE6480">
        <w:rPr>
          <w:rFonts w:asciiTheme="majorHAnsi" w:hAnsiTheme="majorHAnsi"/>
          <w:sz w:val="24"/>
        </w:rPr>
        <w:t>xcludes the budgetary effects of this Act from PAYGO scorecards under the Stat</w:t>
      </w:r>
      <w:r>
        <w:rPr>
          <w:rFonts w:asciiTheme="majorHAnsi" w:hAnsiTheme="majorHAnsi"/>
          <w:sz w:val="24"/>
        </w:rPr>
        <w:t xml:space="preserve">utory Pay-As-You-Go Act of 2010 </w:t>
      </w:r>
    </w:p>
    <w:p w:rsidR="00965721" w:rsidRDefault="00965721" w:rsidP="00965721">
      <w:pPr>
        <w:spacing w:line="240" w:lineRule="auto"/>
        <w:rPr>
          <w:rFonts w:asciiTheme="majorHAnsi" w:hAnsiTheme="majorHAnsi"/>
          <w:sz w:val="24"/>
        </w:rPr>
      </w:pPr>
    </w:p>
    <w:p w:rsidR="00965721" w:rsidRDefault="00965721" w:rsidP="00965721">
      <w:pPr>
        <w:tabs>
          <w:tab w:val="left" w:pos="6990"/>
        </w:tabs>
        <w:spacing w:line="240" w:lineRule="auto"/>
        <w:rPr>
          <w:rFonts w:asciiTheme="majorHAnsi" w:hAnsiTheme="majorHAnsi"/>
          <w:sz w:val="24"/>
        </w:rPr>
      </w:pPr>
      <w:r w:rsidRPr="00965721">
        <w:rPr>
          <w:rFonts w:asciiTheme="majorHAnsi" w:hAnsiTheme="majorHAnsi"/>
          <w:b/>
          <w:sz w:val="24"/>
        </w:rPr>
        <w:lastRenderedPageBreak/>
        <w:t>Conservation Easement Incentive Act of 2015</w:t>
      </w:r>
      <w:r>
        <w:rPr>
          <w:rFonts w:asciiTheme="majorHAnsi" w:hAnsiTheme="majorHAnsi"/>
          <w:sz w:val="24"/>
        </w:rPr>
        <w:t xml:space="preserve"> (merged into America Gives More Act) </w:t>
      </w:r>
    </w:p>
    <w:p w:rsidR="00965721" w:rsidRDefault="00965721" w:rsidP="00965721">
      <w:pPr>
        <w:tabs>
          <w:tab w:val="left" w:pos="6990"/>
        </w:tabs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Sec. 2:</w:t>
      </w:r>
      <w:r w:rsidRPr="00965721">
        <w:rPr>
          <w:rFonts w:asciiTheme="majorHAnsi" w:hAnsiTheme="majorHAnsi"/>
          <w:sz w:val="24"/>
        </w:rPr>
        <w:t xml:space="preserve"> amends the Internal Revenue Code to make permanent after 2014 the tax deduction for charitable contributions by individuals and corporations of real property inter</w:t>
      </w:r>
      <w:r>
        <w:rPr>
          <w:rFonts w:asciiTheme="majorHAnsi" w:hAnsiTheme="majorHAnsi"/>
          <w:sz w:val="24"/>
        </w:rPr>
        <w:t>ests for conservation purposes.</w:t>
      </w:r>
    </w:p>
    <w:p w:rsidR="00965721" w:rsidRPr="00965721" w:rsidRDefault="00965721" w:rsidP="00965721">
      <w:pPr>
        <w:tabs>
          <w:tab w:val="left" w:pos="6990"/>
        </w:tabs>
        <w:spacing w:line="240" w:lineRule="auto"/>
        <w:rPr>
          <w:rFonts w:asciiTheme="majorHAnsi" w:hAnsiTheme="majorHAnsi"/>
          <w:sz w:val="24"/>
        </w:rPr>
      </w:pPr>
      <w:bookmarkStart w:id="0" w:name="_GoBack"/>
      <w:bookmarkEnd w:id="0"/>
      <w:proofErr w:type="gramStart"/>
      <w:r w:rsidRPr="00965721">
        <w:rPr>
          <w:rFonts w:asciiTheme="majorHAnsi" w:hAnsiTheme="majorHAnsi"/>
          <w:sz w:val="24"/>
        </w:rPr>
        <w:t>allows</w:t>
      </w:r>
      <w:proofErr w:type="gramEnd"/>
      <w:r w:rsidRPr="00965721">
        <w:rPr>
          <w:rFonts w:asciiTheme="majorHAnsi" w:hAnsiTheme="majorHAnsi"/>
          <w:sz w:val="24"/>
        </w:rPr>
        <w:t xml:space="preserve"> a tax deduction for conservation contributions made by a Native Corporation of land conveyed under the Alaska Claims Settlement Act.</w:t>
      </w:r>
    </w:p>
    <w:p w:rsidR="00965721" w:rsidRDefault="00965721" w:rsidP="00965721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E6480" w:rsidRPr="00AE6480" w:rsidRDefault="00AE6480" w:rsidP="00345FBE">
      <w:pPr>
        <w:rPr>
          <w:rFonts w:asciiTheme="majorHAnsi" w:hAnsiTheme="majorHAnsi"/>
          <w:b/>
          <w:sz w:val="24"/>
          <w:szCs w:val="24"/>
        </w:rPr>
      </w:pPr>
      <w:r w:rsidRPr="00AE6480">
        <w:rPr>
          <w:rFonts w:asciiTheme="majorHAnsi" w:hAnsiTheme="majorHAnsi"/>
          <w:b/>
          <w:sz w:val="24"/>
          <w:szCs w:val="24"/>
        </w:rPr>
        <w:t xml:space="preserve">Cost: </w:t>
      </w:r>
    </w:p>
    <w:p w:rsidR="00AE6480" w:rsidRPr="00AE6480" w:rsidRDefault="00AE6480" w:rsidP="00AE6480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Sec. 2: </w:t>
      </w:r>
      <w:r w:rsidRPr="00AE6480">
        <w:rPr>
          <w:rFonts w:asciiTheme="majorHAnsi" w:hAnsiTheme="majorHAnsi"/>
          <w:sz w:val="24"/>
        </w:rPr>
        <w:t>would reduce revenues by approximately $2.2 billion over the 2015-2025 period</w:t>
      </w:r>
    </w:p>
    <w:p w:rsidR="00AE6480" w:rsidRPr="00AE6480" w:rsidRDefault="00AE6480" w:rsidP="00AE6480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Sec. 3: </w:t>
      </w:r>
      <w:r w:rsidRPr="00AE6480">
        <w:rPr>
          <w:rFonts w:asciiTheme="majorHAnsi" w:hAnsiTheme="majorHAnsi"/>
          <w:sz w:val="24"/>
        </w:rPr>
        <w:t>would reduce revenues by approximately $8.8 billion over the 2015-2025 period</w:t>
      </w:r>
    </w:p>
    <w:p w:rsidR="00AE6480" w:rsidRPr="00AE6480" w:rsidRDefault="00AE6480" w:rsidP="00AE6480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Sec. 4: </w:t>
      </w:r>
      <w:r w:rsidRPr="00AE6480">
        <w:rPr>
          <w:rFonts w:asciiTheme="majorHAnsi" w:hAnsiTheme="majorHAnsi"/>
          <w:sz w:val="24"/>
        </w:rPr>
        <w:t>would reduce revenues by approximately $1.2 billion over the 2015-2025 period</w:t>
      </w:r>
    </w:p>
    <w:p w:rsidR="00AE6480" w:rsidRDefault="00AE6480" w:rsidP="00AE6480">
      <w:pPr>
        <w:spacing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Sec. 5: </w:t>
      </w:r>
      <w:r w:rsidRPr="00AE6480">
        <w:rPr>
          <w:rFonts w:asciiTheme="majorHAnsi" w:hAnsiTheme="majorHAnsi"/>
          <w:sz w:val="24"/>
        </w:rPr>
        <w:t>would reduce revenues by approximately $2.0 billion over the 2015-2025 period</w:t>
      </w:r>
    </w:p>
    <w:p w:rsidR="00AE6480" w:rsidRDefault="00AE6480" w:rsidP="00AE6480">
      <w:pPr>
        <w:spacing w:line="240" w:lineRule="auto"/>
        <w:rPr>
          <w:rFonts w:asciiTheme="majorHAnsi" w:hAnsiTheme="majorHAnsi"/>
          <w:sz w:val="24"/>
        </w:rPr>
      </w:pPr>
    </w:p>
    <w:p w:rsidR="00AE6480" w:rsidRPr="00AE6480" w:rsidRDefault="00AE6480" w:rsidP="00AE6480">
      <w:pPr>
        <w:spacing w:line="240" w:lineRule="auto"/>
        <w:rPr>
          <w:rFonts w:asciiTheme="majorHAnsi" w:hAnsiTheme="majorHAnsi"/>
          <w:b/>
          <w:sz w:val="24"/>
        </w:rPr>
      </w:pPr>
      <w:r w:rsidRPr="00AE6480">
        <w:rPr>
          <w:rFonts w:asciiTheme="majorHAnsi" w:hAnsiTheme="majorHAnsi"/>
          <w:b/>
          <w:sz w:val="24"/>
        </w:rPr>
        <w:t xml:space="preserve">Timeline: </w:t>
      </w:r>
    </w:p>
    <w:p w:rsidR="00AE6480" w:rsidRPr="00AE6480" w:rsidRDefault="00AE6480" w:rsidP="00AE6480">
      <w:pPr>
        <w:spacing w:line="240" w:lineRule="auto"/>
        <w:rPr>
          <w:rFonts w:asciiTheme="majorHAnsi" w:hAnsiTheme="majorHAnsi"/>
          <w:sz w:val="24"/>
        </w:rPr>
      </w:pPr>
      <w:r w:rsidRPr="00AE6480">
        <w:rPr>
          <w:rFonts w:asciiTheme="majorHAnsi" w:hAnsiTheme="majorHAnsi"/>
          <w:sz w:val="24"/>
        </w:rPr>
        <w:t xml:space="preserve">2/2/2015: Introduced to House </w:t>
      </w:r>
    </w:p>
    <w:p w:rsidR="00AE6480" w:rsidRPr="00AE6480" w:rsidRDefault="00AE6480" w:rsidP="00AE6480">
      <w:pPr>
        <w:spacing w:line="240" w:lineRule="auto"/>
        <w:rPr>
          <w:rFonts w:asciiTheme="majorHAnsi" w:hAnsiTheme="majorHAnsi"/>
          <w:sz w:val="24"/>
        </w:rPr>
      </w:pPr>
      <w:r w:rsidRPr="00AE6480">
        <w:rPr>
          <w:rFonts w:asciiTheme="majorHAnsi" w:hAnsiTheme="majorHAnsi"/>
          <w:sz w:val="24"/>
        </w:rPr>
        <w:t xml:space="preserve">2/9/2015: Amended by the Committee of Ways and Means </w:t>
      </w:r>
    </w:p>
    <w:p w:rsidR="00AE6480" w:rsidRPr="00AE6480" w:rsidRDefault="00AE6480" w:rsidP="00AE6480">
      <w:pPr>
        <w:spacing w:line="240" w:lineRule="auto"/>
        <w:rPr>
          <w:rFonts w:asciiTheme="majorHAnsi" w:hAnsiTheme="majorHAnsi"/>
          <w:sz w:val="24"/>
        </w:rPr>
      </w:pPr>
      <w:r w:rsidRPr="00AE6480">
        <w:rPr>
          <w:rFonts w:asciiTheme="majorHAnsi" w:hAnsiTheme="majorHAnsi"/>
          <w:sz w:val="24"/>
        </w:rPr>
        <w:t>2/12/2015: Passed in House: Yeas 279 &amp; Nays: 137</w:t>
      </w:r>
    </w:p>
    <w:p w:rsidR="00AE6480" w:rsidRPr="00AE6480" w:rsidRDefault="00AE6480" w:rsidP="00AE6480">
      <w:pPr>
        <w:spacing w:line="240" w:lineRule="auto"/>
        <w:rPr>
          <w:rFonts w:asciiTheme="majorHAnsi" w:hAnsiTheme="majorHAnsi"/>
          <w:sz w:val="24"/>
        </w:rPr>
      </w:pPr>
      <w:r w:rsidRPr="00AE6480">
        <w:rPr>
          <w:rFonts w:asciiTheme="majorHAnsi" w:hAnsiTheme="majorHAnsi"/>
          <w:sz w:val="24"/>
        </w:rPr>
        <w:t xml:space="preserve">5/14/2015: Passed in Senate: Yeas: 78 &amp; Nays: 20 </w:t>
      </w:r>
    </w:p>
    <w:p w:rsidR="00AE6480" w:rsidRPr="00AE6480" w:rsidRDefault="00AE6480" w:rsidP="00AE6480">
      <w:pPr>
        <w:spacing w:line="240" w:lineRule="auto"/>
        <w:rPr>
          <w:rFonts w:asciiTheme="majorHAnsi" w:hAnsiTheme="majorHAnsi"/>
          <w:sz w:val="24"/>
        </w:rPr>
      </w:pPr>
      <w:r w:rsidRPr="00AE6480">
        <w:rPr>
          <w:rFonts w:asciiTheme="majorHAnsi" w:hAnsiTheme="majorHAnsi"/>
          <w:sz w:val="24"/>
        </w:rPr>
        <w:t xml:space="preserve">6/12/2015: Resolving Differences (House Action): agreed to amend: 240 &amp; disagreed to amend: 190 </w:t>
      </w:r>
    </w:p>
    <w:p w:rsidR="00AE6480" w:rsidRPr="00AE6480" w:rsidRDefault="00AE6480" w:rsidP="00AE6480">
      <w:pPr>
        <w:spacing w:line="240" w:lineRule="auto"/>
        <w:rPr>
          <w:rFonts w:asciiTheme="majorHAnsi" w:hAnsiTheme="majorHAnsi"/>
          <w:sz w:val="24"/>
        </w:rPr>
      </w:pPr>
      <w:r w:rsidRPr="00AE6480">
        <w:rPr>
          <w:rFonts w:asciiTheme="majorHAnsi" w:hAnsiTheme="majorHAnsi"/>
          <w:sz w:val="24"/>
        </w:rPr>
        <w:t xml:space="preserve">6/24/2015: To Conference (Senate Action): Conferees: Hatch, </w:t>
      </w:r>
      <w:proofErr w:type="spellStart"/>
      <w:r w:rsidRPr="00AE6480">
        <w:rPr>
          <w:rFonts w:asciiTheme="majorHAnsi" w:hAnsiTheme="majorHAnsi"/>
          <w:sz w:val="24"/>
        </w:rPr>
        <w:t>Cornyn</w:t>
      </w:r>
      <w:proofErr w:type="spellEnd"/>
      <w:r w:rsidRPr="00AE6480">
        <w:rPr>
          <w:rFonts w:asciiTheme="majorHAnsi" w:hAnsiTheme="majorHAnsi"/>
          <w:sz w:val="24"/>
        </w:rPr>
        <w:t xml:space="preserve">, Thune, Isakson, Wyden, Schumer, </w:t>
      </w:r>
      <w:proofErr w:type="gramStart"/>
      <w:r w:rsidRPr="00AE6480">
        <w:rPr>
          <w:rFonts w:asciiTheme="majorHAnsi" w:hAnsiTheme="majorHAnsi"/>
          <w:sz w:val="24"/>
        </w:rPr>
        <w:t>Stabenow</w:t>
      </w:r>
      <w:proofErr w:type="gramEnd"/>
      <w:r w:rsidRPr="00AE6480">
        <w:rPr>
          <w:rFonts w:asciiTheme="majorHAnsi" w:hAnsiTheme="majorHAnsi"/>
          <w:sz w:val="24"/>
        </w:rPr>
        <w:t xml:space="preserve"> </w:t>
      </w:r>
    </w:p>
    <w:p w:rsidR="00AE6480" w:rsidRDefault="00AE6480" w:rsidP="00AE6480">
      <w:pPr>
        <w:spacing w:line="240" w:lineRule="auto"/>
        <w:rPr>
          <w:rFonts w:asciiTheme="majorHAnsi" w:hAnsiTheme="majorHAnsi"/>
          <w:sz w:val="24"/>
        </w:rPr>
      </w:pPr>
      <w:r w:rsidRPr="00AE6480">
        <w:rPr>
          <w:rFonts w:asciiTheme="majorHAnsi" w:hAnsiTheme="majorHAnsi"/>
          <w:sz w:val="24"/>
        </w:rPr>
        <w:t xml:space="preserve"> </w:t>
      </w:r>
    </w:p>
    <w:p w:rsidR="00AE6480" w:rsidRDefault="00AE6480" w:rsidP="00AE6480">
      <w:pPr>
        <w:spacing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Links: </w:t>
      </w:r>
    </w:p>
    <w:p w:rsidR="00AE6480" w:rsidRDefault="001B5B95" w:rsidP="00AE6480">
      <w:pPr>
        <w:spacing w:line="240" w:lineRule="auto"/>
        <w:rPr>
          <w:rFonts w:asciiTheme="majorHAnsi" w:hAnsiTheme="majorHAnsi"/>
          <w:sz w:val="24"/>
        </w:rPr>
      </w:pPr>
      <w:hyperlink r:id="rId7" w:history="1">
        <w:r w:rsidR="00AE6480" w:rsidRPr="003564A9">
          <w:rPr>
            <w:rStyle w:val="Hyperlink"/>
            <w:rFonts w:asciiTheme="majorHAnsi" w:hAnsiTheme="majorHAnsi"/>
            <w:sz w:val="24"/>
          </w:rPr>
          <w:t>https://www.independentsector.org/land_conservation_deduction</w:t>
        </w:r>
      </w:hyperlink>
      <w:r w:rsidR="00AE6480">
        <w:rPr>
          <w:rFonts w:asciiTheme="majorHAnsi" w:hAnsiTheme="majorHAnsi"/>
          <w:sz w:val="24"/>
        </w:rPr>
        <w:t xml:space="preserve"> </w:t>
      </w:r>
    </w:p>
    <w:p w:rsidR="00AE6480" w:rsidRDefault="001B5B95" w:rsidP="00AE6480">
      <w:pPr>
        <w:tabs>
          <w:tab w:val="left" w:pos="6990"/>
        </w:tabs>
        <w:spacing w:line="240" w:lineRule="auto"/>
        <w:rPr>
          <w:rFonts w:asciiTheme="majorHAnsi" w:hAnsiTheme="majorHAnsi"/>
          <w:sz w:val="24"/>
        </w:rPr>
      </w:pPr>
      <w:hyperlink r:id="rId8" w:history="1">
        <w:r w:rsidR="00AE6480" w:rsidRPr="003564A9">
          <w:rPr>
            <w:rStyle w:val="Hyperlink"/>
            <w:rFonts w:asciiTheme="majorHAnsi" w:hAnsiTheme="majorHAnsi"/>
            <w:sz w:val="24"/>
          </w:rPr>
          <w:t>https://www.congress.gov/bill/114th-congress/house-bill/644</w:t>
        </w:r>
      </w:hyperlink>
      <w:r w:rsidR="00AE6480">
        <w:rPr>
          <w:rFonts w:asciiTheme="majorHAnsi" w:hAnsiTheme="majorHAnsi"/>
          <w:sz w:val="24"/>
        </w:rPr>
        <w:t xml:space="preserve"> </w:t>
      </w:r>
      <w:r w:rsidR="00AE6480">
        <w:rPr>
          <w:rFonts w:asciiTheme="majorHAnsi" w:hAnsiTheme="majorHAnsi"/>
          <w:sz w:val="24"/>
        </w:rPr>
        <w:tab/>
      </w:r>
    </w:p>
    <w:p w:rsidR="00AE6480" w:rsidRDefault="001B5B95" w:rsidP="00AE6480">
      <w:pPr>
        <w:tabs>
          <w:tab w:val="left" w:pos="6990"/>
        </w:tabs>
        <w:spacing w:line="240" w:lineRule="auto"/>
        <w:rPr>
          <w:rFonts w:asciiTheme="majorHAnsi" w:hAnsiTheme="majorHAnsi"/>
          <w:sz w:val="24"/>
        </w:rPr>
      </w:pPr>
      <w:hyperlink r:id="rId9" w:history="1">
        <w:r w:rsidR="00AE6480" w:rsidRPr="003564A9">
          <w:rPr>
            <w:rStyle w:val="Hyperlink"/>
            <w:rFonts w:asciiTheme="majorHAnsi" w:hAnsiTheme="majorHAnsi"/>
            <w:sz w:val="24"/>
          </w:rPr>
          <w:t>http://www.gop.gov/bill/h-r-644-fighting-hunger-incentive-act-of-2015/</w:t>
        </w:r>
      </w:hyperlink>
      <w:r w:rsidR="00AE6480">
        <w:rPr>
          <w:rFonts w:asciiTheme="majorHAnsi" w:hAnsiTheme="majorHAnsi"/>
          <w:sz w:val="24"/>
        </w:rPr>
        <w:t xml:space="preserve"> </w:t>
      </w:r>
    </w:p>
    <w:p w:rsidR="00AE6480" w:rsidRDefault="001B5B95" w:rsidP="00AE6480">
      <w:pPr>
        <w:tabs>
          <w:tab w:val="left" w:pos="6990"/>
        </w:tabs>
        <w:spacing w:line="240" w:lineRule="auto"/>
        <w:rPr>
          <w:rFonts w:asciiTheme="majorHAnsi" w:hAnsiTheme="majorHAnsi"/>
          <w:sz w:val="24"/>
        </w:rPr>
      </w:pPr>
      <w:hyperlink r:id="rId10" w:history="1">
        <w:r w:rsidR="00D54358" w:rsidRPr="003564A9">
          <w:rPr>
            <w:rStyle w:val="Hyperlink"/>
            <w:rFonts w:asciiTheme="majorHAnsi" w:hAnsiTheme="majorHAnsi"/>
            <w:sz w:val="24"/>
          </w:rPr>
          <w:t>http://thomas.loc.gov/cgi-bin/query/z?c114:H.R.644</w:t>
        </w:r>
      </w:hyperlink>
      <w:r w:rsidR="00D54358" w:rsidRPr="00D54358">
        <w:rPr>
          <w:rFonts w:asciiTheme="majorHAnsi" w:hAnsiTheme="majorHAnsi"/>
          <w:sz w:val="24"/>
        </w:rPr>
        <w:t>:</w:t>
      </w:r>
      <w:r w:rsidR="00D54358">
        <w:rPr>
          <w:rFonts w:asciiTheme="majorHAnsi" w:hAnsiTheme="majorHAnsi"/>
          <w:sz w:val="24"/>
        </w:rPr>
        <w:t xml:space="preserve"> </w:t>
      </w:r>
    </w:p>
    <w:p w:rsidR="00965721" w:rsidRDefault="001B5B95" w:rsidP="00AE6480">
      <w:pPr>
        <w:tabs>
          <w:tab w:val="left" w:pos="6990"/>
        </w:tabs>
        <w:spacing w:line="240" w:lineRule="auto"/>
        <w:rPr>
          <w:rFonts w:asciiTheme="majorHAnsi" w:hAnsiTheme="majorHAnsi"/>
          <w:sz w:val="24"/>
        </w:rPr>
      </w:pPr>
      <w:hyperlink r:id="rId11" w:history="1">
        <w:r w:rsidR="00D54358" w:rsidRPr="003564A9">
          <w:rPr>
            <w:rStyle w:val="Hyperlink"/>
            <w:rFonts w:asciiTheme="majorHAnsi" w:hAnsiTheme="majorHAnsi"/>
            <w:sz w:val="24"/>
          </w:rPr>
          <w:t>http://www.coloradononprofits.org/americagivesmore/</w:t>
        </w:r>
      </w:hyperlink>
      <w:r w:rsidR="00D54358">
        <w:rPr>
          <w:rFonts w:asciiTheme="majorHAnsi" w:hAnsiTheme="majorHAnsi"/>
          <w:sz w:val="24"/>
        </w:rPr>
        <w:t xml:space="preserve"> </w:t>
      </w:r>
    </w:p>
    <w:p w:rsidR="00965721" w:rsidRPr="00AE6480" w:rsidRDefault="00965721" w:rsidP="00965721">
      <w:pPr>
        <w:rPr>
          <w:rFonts w:asciiTheme="majorHAnsi" w:hAnsiTheme="majorHAnsi"/>
          <w:sz w:val="24"/>
        </w:rPr>
      </w:pPr>
    </w:p>
    <w:sectPr w:rsidR="00965721" w:rsidRPr="00AE648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BE" w:rsidRDefault="00345FBE" w:rsidP="00345FBE">
      <w:pPr>
        <w:spacing w:after="0" w:line="240" w:lineRule="auto"/>
      </w:pPr>
      <w:r>
        <w:separator/>
      </w:r>
    </w:p>
  </w:endnote>
  <w:endnote w:type="continuationSeparator" w:id="0">
    <w:p w:rsidR="00345FBE" w:rsidRDefault="00345FBE" w:rsidP="0034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BE" w:rsidRDefault="00345FBE" w:rsidP="00345FBE">
      <w:pPr>
        <w:spacing w:after="0" w:line="240" w:lineRule="auto"/>
      </w:pPr>
      <w:r>
        <w:separator/>
      </w:r>
    </w:p>
  </w:footnote>
  <w:footnote w:type="continuationSeparator" w:id="0">
    <w:p w:rsidR="00345FBE" w:rsidRDefault="00345FBE" w:rsidP="0034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FBE" w:rsidRPr="00345FBE" w:rsidRDefault="00345FBE">
    <w:pPr>
      <w:pStyle w:val="Header"/>
      <w:rPr>
        <w:rFonts w:asciiTheme="majorHAnsi" w:hAnsiTheme="majorHAnsi"/>
        <w:sz w:val="24"/>
        <w:szCs w:val="24"/>
      </w:rPr>
    </w:pPr>
    <w:r w:rsidRPr="00345FBE">
      <w:rPr>
        <w:rFonts w:asciiTheme="majorHAnsi" w:hAnsiTheme="majorHAnsi"/>
        <w:sz w:val="24"/>
        <w:szCs w:val="24"/>
      </w:rPr>
      <w:t xml:space="preserve">H.R.664 America Gives More Act </w:t>
    </w:r>
  </w:p>
  <w:p w:rsidR="00345FBE" w:rsidRDefault="00345F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59CF"/>
    <w:multiLevelType w:val="hybridMultilevel"/>
    <w:tmpl w:val="687E1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92CB7"/>
    <w:multiLevelType w:val="hybridMultilevel"/>
    <w:tmpl w:val="6676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911F4"/>
    <w:multiLevelType w:val="hybridMultilevel"/>
    <w:tmpl w:val="04E8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C477A"/>
    <w:multiLevelType w:val="hybridMultilevel"/>
    <w:tmpl w:val="CCEE8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BE"/>
    <w:rsid w:val="001B5B95"/>
    <w:rsid w:val="00277B18"/>
    <w:rsid w:val="00345FBE"/>
    <w:rsid w:val="003D64A9"/>
    <w:rsid w:val="003E0616"/>
    <w:rsid w:val="008441D5"/>
    <w:rsid w:val="00965721"/>
    <w:rsid w:val="00A003BF"/>
    <w:rsid w:val="00AE6480"/>
    <w:rsid w:val="00B17E01"/>
    <w:rsid w:val="00D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1D31D-3CB5-42CF-A6E5-26ADD06B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FBE"/>
  </w:style>
  <w:style w:type="paragraph" w:styleId="Footer">
    <w:name w:val="footer"/>
    <w:basedOn w:val="Normal"/>
    <w:link w:val="FooterChar"/>
    <w:uiPriority w:val="99"/>
    <w:unhideWhenUsed/>
    <w:rsid w:val="0034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FBE"/>
  </w:style>
  <w:style w:type="paragraph" w:styleId="ListParagraph">
    <w:name w:val="List Paragraph"/>
    <w:basedOn w:val="Normal"/>
    <w:uiPriority w:val="34"/>
    <w:qFormat/>
    <w:rsid w:val="00844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4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14th-congress/house-bill/6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dependentsector.org/land_conservation_deduc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oradononprofits.org/americagivesmor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homas.loc.gov/cgi-bin/query/z?c114:H.R.6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p.gov/bill/h-r-644-fighting-hunger-incentive-act-of-201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RPCS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Usry, Georgia</dc:creator>
  <cp:keywords/>
  <dc:description/>
  <cp:lastModifiedBy>Usry, Georgia</cp:lastModifiedBy>
  <cp:revision>2</cp:revision>
  <dcterms:created xsi:type="dcterms:W3CDTF">2015-06-25T18:34:00Z</dcterms:created>
  <dcterms:modified xsi:type="dcterms:W3CDTF">2015-06-29T22:30:00Z</dcterms:modified>
</cp:coreProperties>
</file>